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2CF" w:rsidRPr="00F51DA1" w:rsidRDefault="00F51DA1" w:rsidP="00F51DA1">
      <w:pPr>
        <w:jc w:val="center"/>
        <w:rPr>
          <w:rFonts w:ascii="Times New Roman" w:hAnsi="Times New Roman" w:cs="Times New Roman"/>
          <w:sz w:val="24"/>
          <w:szCs w:val="24"/>
          <w:lang w:val="bg-BG"/>
        </w:rPr>
      </w:pPr>
      <w:r w:rsidRPr="00F51DA1">
        <w:rPr>
          <w:rFonts w:ascii="Times New Roman" w:hAnsi="Times New Roman" w:cs="Times New Roman"/>
          <w:sz w:val="24"/>
          <w:szCs w:val="24"/>
          <w:lang w:val="bg-BG"/>
        </w:rPr>
        <w:t>СПРАВКА</w:t>
      </w:r>
    </w:p>
    <w:p w:rsidR="00F51DA1" w:rsidRPr="00F51DA1" w:rsidRDefault="00F51DA1" w:rsidP="00F51DA1">
      <w:pPr>
        <w:jc w:val="center"/>
        <w:rPr>
          <w:rFonts w:ascii="Times New Roman" w:hAnsi="Times New Roman" w:cs="Times New Roman"/>
          <w:sz w:val="24"/>
          <w:szCs w:val="24"/>
          <w:lang w:val="bg-BG"/>
        </w:rPr>
      </w:pPr>
      <w:r w:rsidRPr="00F51DA1">
        <w:rPr>
          <w:rFonts w:ascii="Times New Roman" w:hAnsi="Times New Roman" w:cs="Times New Roman"/>
          <w:sz w:val="24"/>
          <w:szCs w:val="24"/>
          <w:lang w:val="bg-BG"/>
        </w:rPr>
        <w:t>НА</w:t>
      </w:r>
    </w:p>
    <w:p w:rsidR="00F51DA1" w:rsidRDefault="00F51DA1" w:rsidP="00F51DA1">
      <w:pPr>
        <w:jc w:val="center"/>
        <w:rPr>
          <w:rFonts w:ascii="Times New Roman" w:hAnsi="Times New Roman" w:cs="Times New Roman"/>
          <w:sz w:val="24"/>
          <w:szCs w:val="24"/>
          <w:lang w:val="bg-BG"/>
        </w:rPr>
      </w:pPr>
      <w:r w:rsidRPr="00F51DA1">
        <w:rPr>
          <w:rFonts w:ascii="Times New Roman" w:hAnsi="Times New Roman" w:cs="Times New Roman"/>
          <w:sz w:val="24"/>
          <w:szCs w:val="24"/>
          <w:lang w:val="bg-BG"/>
        </w:rPr>
        <w:t>ПОСТЪПИЛИТЕ СТАНОВИЩА В СРОКА НА ОБЩЕСТВЕНОТО ОБСЪЖДАНЕ НА ПРОЕКТА НА ПРАВИЛНИК ЗА ИЗМЕНЕНИЕ И ДОПЪЛНЕНИЕ НА УСТРОЙСТВЕН ПРАВИЛНИК НА ГД ГВА</w:t>
      </w:r>
    </w:p>
    <w:tbl>
      <w:tblPr>
        <w:tblStyle w:val="TableGrid"/>
        <w:tblW w:w="13433" w:type="dxa"/>
        <w:tblLayout w:type="fixed"/>
        <w:tblLook w:val="04A0" w:firstRow="1" w:lastRow="0" w:firstColumn="1" w:lastColumn="0" w:noHBand="0" w:noVBand="1"/>
      </w:tblPr>
      <w:tblGrid>
        <w:gridCol w:w="1694"/>
        <w:gridCol w:w="3517"/>
        <w:gridCol w:w="1462"/>
        <w:gridCol w:w="6760"/>
      </w:tblGrid>
      <w:tr w:rsidR="008B74F9" w:rsidTr="001F5B24">
        <w:tc>
          <w:tcPr>
            <w:tcW w:w="1694" w:type="dxa"/>
          </w:tcPr>
          <w:p w:rsidR="008B74F9" w:rsidRDefault="008B74F9" w:rsidP="00F51DA1">
            <w:pPr>
              <w:jc w:val="center"/>
              <w:rPr>
                <w:rFonts w:ascii="Times New Roman" w:hAnsi="Times New Roman" w:cs="Times New Roman"/>
                <w:sz w:val="24"/>
                <w:szCs w:val="24"/>
                <w:lang w:val="bg-BG"/>
              </w:rPr>
            </w:pPr>
            <w:r>
              <w:rPr>
                <w:rFonts w:ascii="Times New Roman" w:hAnsi="Times New Roman" w:cs="Times New Roman"/>
                <w:sz w:val="24"/>
                <w:szCs w:val="24"/>
                <w:lang w:val="bg-BG"/>
              </w:rPr>
              <w:t>Изготвил становището</w:t>
            </w:r>
          </w:p>
        </w:tc>
        <w:tc>
          <w:tcPr>
            <w:tcW w:w="3517" w:type="dxa"/>
          </w:tcPr>
          <w:p w:rsidR="008B74F9" w:rsidRDefault="008B74F9" w:rsidP="00F51DA1">
            <w:pPr>
              <w:jc w:val="center"/>
              <w:rPr>
                <w:rFonts w:ascii="Times New Roman" w:hAnsi="Times New Roman" w:cs="Times New Roman"/>
                <w:sz w:val="24"/>
                <w:szCs w:val="24"/>
                <w:lang w:val="bg-BG"/>
              </w:rPr>
            </w:pPr>
            <w:r>
              <w:rPr>
                <w:rFonts w:ascii="Times New Roman" w:hAnsi="Times New Roman" w:cs="Times New Roman"/>
                <w:sz w:val="24"/>
                <w:szCs w:val="24"/>
                <w:lang w:val="bg-BG"/>
              </w:rPr>
              <w:t>Предложение</w:t>
            </w:r>
          </w:p>
        </w:tc>
        <w:tc>
          <w:tcPr>
            <w:tcW w:w="1462" w:type="dxa"/>
          </w:tcPr>
          <w:p w:rsidR="008B74F9" w:rsidRDefault="008B74F9" w:rsidP="00F51DA1">
            <w:pPr>
              <w:jc w:val="center"/>
              <w:rPr>
                <w:rFonts w:ascii="Times New Roman" w:hAnsi="Times New Roman" w:cs="Times New Roman"/>
                <w:sz w:val="24"/>
                <w:szCs w:val="24"/>
                <w:lang w:val="bg-BG"/>
              </w:rPr>
            </w:pPr>
            <w:r>
              <w:rPr>
                <w:rFonts w:ascii="Times New Roman" w:hAnsi="Times New Roman" w:cs="Times New Roman"/>
                <w:sz w:val="24"/>
                <w:szCs w:val="24"/>
                <w:lang w:val="bg-BG"/>
              </w:rPr>
              <w:t>Приема се/ не се приема предложението</w:t>
            </w:r>
          </w:p>
        </w:tc>
        <w:tc>
          <w:tcPr>
            <w:tcW w:w="6760" w:type="dxa"/>
          </w:tcPr>
          <w:p w:rsidR="008B74F9" w:rsidRDefault="008B74F9" w:rsidP="008B74F9">
            <w:pPr>
              <w:jc w:val="center"/>
              <w:rPr>
                <w:rFonts w:ascii="Times New Roman" w:hAnsi="Times New Roman" w:cs="Times New Roman"/>
                <w:sz w:val="24"/>
                <w:szCs w:val="24"/>
                <w:lang w:val="bg-BG"/>
              </w:rPr>
            </w:pPr>
            <w:r>
              <w:rPr>
                <w:rFonts w:ascii="Times New Roman" w:hAnsi="Times New Roman" w:cs="Times New Roman"/>
                <w:sz w:val="24"/>
                <w:szCs w:val="24"/>
                <w:lang w:val="bg-BG"/>
              </w:rPr>
              <w:t>Мотиви за неприемане на предложението</w:t>
            </w:r>
          </w:p>
        </w:tc>
      </w:tr>
      <w:tr w:rsidR="008B74F9" w:rsidTr="001F5B24">
        <w:tc>
          <w:tcPr>
            <w:tcW w:w="1694" w:type="dxa"/>
          </w:tcPr>
          <w:p w:rsidR="008B74F9" w:rsidRPr="00F13768" w:rsidRDefault="00F13768" w:rsidP="00F13768">
            <w:pPr>
              <w:rPr>
                <w:rFonts w:ascii="Times New Roman" w:hAnsi="Times New Roman" w:cs="Times New Roman"/>
                <w:sz w:val="24"/>
                <w:szCs w:val="24"/>
                <w:lang w:val="bg-BG"/>
              </w:rPr>
            </w:pPr>
            <w:r>
              <w:rPr>
                <w:rFonts w:ascii="Times New Roman" w:hAnsi="Times New Roman" w:cs="Times New Roman"/>
                <w:sz w:val="24"/>
                <w:szCs w:val="24"/>
                <w:lang w:val="bg-BG"/>
              </w:rPr>
              <w:t>1.</w:t>
            </w:r>
            <w:r w:rsidR="008B74F9" w:rsidRPr="00F13768">
              <w:rPr>
                <w:rFonts w:ascii="Times New Roman" w:hAnsi="Times New Roman" w:cs="Times New Roman"/>
                <w:sz w:val="24"/>
                <w:szCs w:val="24"/>
                <w:lang w:val="bg-BG"/>
              </w:rPr>
              <w:t>Асоциация на българските авиокомпании</w:t>
            </w:r>
          </w:p>
          <w:p w:rsidR="008B74F9" w:rsidRDefault="008B74F9" w:rsidP="00F51DA1">
            <w:pPr>
              <w:jc w:val="center"/>
              <w:rPr>
                <w:rFonts w:ascii="Times New Roman" w:hAnsi="Times New Roman" w:cs="Times New Roman"/>
                <w:sz w:val="24"/>
                <w:szCs w:val="24"/>
                <w:lang w:val="bg-BG"/>
              </w:rPr>
            </w:pPr>
          </w:p>
          <w:p w:rsidR="008B74F9" w:rsidRDefault="008B74F9" w:rsidP="00F51DA1">
            <w:pPr>
              <w:jc w:val="center"/>
              <w:rPr>
                <w:rFonts w:ascii="Times New Roman" w:hAnsi="Times New Roman" w:cs="Times New Roman"/>
                <w:sz w:val="24"/>
                <w:szCs w:val="24"/>
                <w:lang w:val="bg-BG"/>
              </w:rPr>
            </w:pPr>
          </w:p>
        </w:tc>
        <w:tc>
          <w:tcPr>
            <w:tcW w:w="3517" w:type="dxa"/>
          </w:tcPr>
          <w:p w:rsidR="008B74F9" w:rsidRPr="00223386" w:rsidRDefault="00223386" w:rsidP="00223386">
            <w:pPr>
              <w:jc w:val="both"/>
              <w:rPr>
                <w:rFonts w:ascii="Times New Roman" w:hAnsi="Times New Roman" w:cs="Times New Roman"/>
                <w:sz w:val="20"/>
                <w:szCs w:val="20"/>
                <w:lang w:val="bg-BG"/>
              </w:rPr>
            </w:pPr>
            <w:r w:rsidRPr="00223386">
              <w:rPr>
                <w:rFonts w:ascii="Times New Roman" w:hAnsi="Times New Roman" w:cs="Times New Roman"/>
                <w:sz w:val="20"/>
                <w:szCs w:val="20"/>
              </w:rPr>
              <w:t>Докладът на Главния директор на ГД „ГВА“, с който се предлага проект на Правилник за изменение и допълнение на Устройствения правилник на ГД „ГВА“, не съдържа анализ на действащите в момента Правилник и структура на ГД „ГВА“, не са посочени техните недостатъци и какви негативни последствия са настъпили или биха могли да настъпят в следствие на тези недостатъци, както и защо се налага тази промяна.</w:t>
            </w:r>
          </w:p>
        </w:tc>
        <w:tc>
          <w:tcPr>
            <w:tcW w:w="1462" w:type="dxa"/>
          </w:tcPr>
          <w:p w:rsidR="008B74F9" w:rsidRDefault="004738EF" w:rsidP="00F51DA1">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Не се приема </w:t>
            </w:r>
          </w:p>
        </w:tc>
        <w:tc>
          <w:tcPr>
            <w:tcW w:w="6760" w:type="dxa"/>
          </w:tcPr>
          <w:p w:rsidR="006824AA" w:rsidRDefault="006C3E0E" w:rsidP="006072FA">
            <w:pPr>
              <w:jc w:val="both"/>
              <w:rPr>
                <w:rFonts w:ascii="Times New Roman" w:hAnsi="Times New Roman" w:cs="Times New Roman"/>
                <w:sz w:val="20"/>
                <w:szCs w:val="20"/>
                <w:lang w:val="bg-BG"/>
              </w:rPr>
            </w:pPr>
            <w:r>
              <w:rPr>
                <w:rFonts w:ascii="Times New Roman" w:hAnsi="Times New Roman" w:cs="Times New Roman"/>
                <w:sz w:val="20"/>
                <w:szCs w:val="20"/>
                <w:lang w:val="bg-BG"/>
              </w:rPr>
              <w:t>Проектът е резултат от</w:t>
            </w:r>
            <w:r w:rsidR="006072FA">
              <w:rPr>
                <w:rFonts w:ascii="Times New Roman" w:hAnsi="Times New Roman" w:cs="Times New Roman"/>
                <w:sz w:val="20"/>
                <w:szCs w:val="20"/>
                <w:lang w:val="bg-BG"/>
              </w:rPr>
              <w:t xml:space="preserve"> продължителни и детайлни обсъждания в рамките на ГД ГВА</w:t>
            </w:r>
            <w:r>
              <w:rPr>
                <w:rFonts w:ascii="Times New Roman" w:hAnsi="Times New Roman" w:cs="Times New Roman"/>
                <w:sz w:val="20"/>
                <w:szCs w:val="20"/>
                <w:lang w:val="bg-BG"/>
              </w:rPr>
              <w:t xml:space="preserve"> по редица въпроси, не само по тези, поставени в цитираното становище на АБА</w:t>
            </w:r>
            <w:r w:rsidR="006072FA">
              <w:rPr>
                <w:rFonts w:ascii="Times New Roman" w:hAnsi="Times New Roman" w:cs="Times New Roman"/>
                <w:sz w:val="20"/>
                <w:szCs w:val="20"/>
                <w:lang w:val="bg-BG"/>
              </w:rPr>
              <w:t xml:space="preserve">. </w:t>
            </w:r>
          </w:p>
          <w:p w:rsidR="008B74F9" w:rsidRPr="001F5B24" w:rsidRDefault="006072FA" w:rsidP="006C3E0E">
            <w:pPr>
              <w:jc w:val="both"/>
              <w:rPr>
                <w:rFonts w:ascii="Times New Roman" w:hAnsi="Times New Roman" w:cs="Times New Roman"/>
                <w:sz w:val="20"/>
                <w:szCs w:val="20"/>
                <w:lang w:val="bg-BG"/>
              </w:rPr>
            </w:pPr>
            <w:r>
              <w:rPr>
                <w:rFonts w:ascii="Times New Roman" w:hAnsi="Times New Roman" w:cs="Times New Roman"/>
                <w:sz w:val="20"/>
                <w:szCs w:val="20"/>
                <w:lang w:val="bg-BG"/>
              </w:rPr>
              <w:t xml:space="preserve">Изводите от тях са обективирани в доклада към проекта, съдържащ </w:t>
            </w:r>
            <w:r w:rsidR="006824AA">
              <w:rPr>
                <w:rFonts w:ascii="Times New Roman" w:hAnsi="Times New Roman" w:cs="Times New Roman"/>
                <w:sz w:val="20"/>
                <w:szCs w:val="20"/>
                <w:lang w:val="bg-BG"/>
              </w:rPr>
              <w:t xml:space="preserve">изчерпателно </w:t>
            </w:r>
            <w:r>
              <w:rPr>
                <w:rFonts w:ascii="Times New Roman" w:hAnsi="Times New Roman" w:cs="Times New Roman"/>
                <w:sz w:val="20"/>
                <w:szCs w:val="20"/>
                <w:lang w:val="bg-BG"/>
              </w:rPr>
              <w:t xml:space="preserve">мотивите </w:t>
            </w:r>
            <w:r w:rsidR="006C3E0E">
              <w:rPr>
                <w:rFonts w:ascii="Times New Roman" w:hAnsi="Times New Roman" w:cs="Times New Roman"/>
                <w:sz w:val="20"/>
                <w:szCs w:val="20"/>
                <w:lang w:val="bg-BG"/>
              </w:rPr>
              <w:t xml:space="preserve">на вносителя </w:t>
            </w:r>
            <w:r>
              <w:rPr>
                <w:rFonts w:ascii="Times New Roman" w:hAnsi="Times New Roman" w:cs="Times New Roman"/>
                <w:sz w:val="20"/>
                <w:szCs w:val="20"/>
                <w:lang w:val="bg-BG"/>
              </w:rPr>
              <w:t xml:space="preserve">за предлаганите изменения. </w:t>
            </w:r>
          </w:p>
        </w:tc>
      </w:tr>
      <w:tr w:rsidR="008B74F9" w:rsidTr="001F5B24">
        <w:tc>
          <w:tcPr>
            <w:tcW w:w="1694" w:type="dxa"/>
          </w:tcPr>
          <w:p w:rsidR="008B74F9" w:rsidRDefault="00F13768" w:rsidP="00F51DA1">
            <w:pPr>
              <w:jc w:val="center"/>
              <w:rPr>
                <w:rFonts w:ascii="Times New Roman" w:hAnsi="Times New Roman" w:cs="Times New Roman"/>
                <w:sz w:val="24"/>
                <w:szCs w:val="24"/>
                <w:lang w:val="bg-BG"/>
              </w:rPr>
            </w:pPr>
            <w:r>
              <w:rPr>
                <w:rFonts w:ascii="Times New Roman" w:hAnsi="Times New Roman" w:cs="Times New Roman"/>
                <w:sz w:val="24"/>
                <w:szCs w:val="24"/>
                <w:lang w:val="bg-BG"/>
              </w:rPr>
              <w:t>2.</w:t>
            </w:r>
            <w:r w:rsidR="008B74F9">
              <w:rPr>
                <w:rFonts w:ascii="Times New Roman" w:hAnsi="Times New Roman" w:cs="Times New Roman"/>
                <w:sz w:val="24"/>
                <w:szCs w:val="24"/>
                <w:lang w:val="bg-BG"/>
              </w:rPr>
              <w:t>Асоциация на българските авиокомпании</w:t>
            </w:r>
          </w:p>
          <w:p w:rsidR="008B74F9" w:rsidRDefault="008B74F9" w:rsidP="00F51DA1">
            <w:pPr>
              <w:jc w:val="center"/>
              <w:rPr>
                <w:rFonts w:ascii="Times New Roman" w:hAnsi="Times New Roman" w:cs="Times New Roman"/>
                <w:sz w:val="24"/>
                <w:szCs w:val="24"/>
                <w:lang w:val="bg-BG"/>
              </w:rPr>
            </w:pPr>
          </w:p>
          <w:p w:rsidR="008B74F9" w:rsidRDefault="008B74F9" w:rsidP="00F51DA1">
            <w:pPr>
              <w:jc w:val="center"/>
              <w:rPr>
                <w:rFonts w:ascii="Times New Roman" w:hAnsi="Times New Roman" w:cs="Times New Roman"/>
                <w:sz w:val="24"/>
                <w:szCs w:val="24"/>
                <w:lang w:val="bg-BG"/>
              </w:rPr>
            </w:pPr>
          </w:p>
        </w:tc>
        <w:tc>
          <w:tcPr>
            <w:tcW w:w="3517" w:type="dxa"/>
          </w:tcPr>
          <w:p w:rsidR="00223386" w:rsidRPr="00223386" w:rsidRDefault="00223386" w:rsidP="00223386">
            <w:pPr>
              <w:shd w:val="clear" w:color="auto" w:fill="FFFFFF"/>
              <w:jc w:val="both"/>
              <w:rPr>
                <w:rFonts w:ascii="Times New Roman" w:hAnsi="Times New Roman" w:cs="Times New Roman"/>
                <w:sz w:val="20"/>
                <w:szCs w:val="20"/>
              </w:rPr>
            </w:pPr>
            <w:r w:rsidRPr="00223386">
              <w:rPr>
                <w:rFonts w:ascii="Times New Roman" w:hAnsi="Times New Roman" w:cs="Times New Roman"/>
                <w:sz w:val="20"/>
                <w:szCs w:val="20"/>
              </w:rPr>
              <w:t>Липсва оценка на риска, на която следва да се основава</w:t>
            </w:r>
            <w:proofErr w:type="gramStart"/>
            <w:r w:rsidRPr="00223386">
              <w:rPr>
                <w:rFonts w:ascii="Times New Roman" w:hAnsi="Times New Roman" w:cs="Times New Roman"/>
                <w:sz w:val="20"/>
                <w:szCs w:val="20"/>
              </w:rPr>
              <w:t>  системния</w:t>
            </w:r>
            <w:proofErr w:type="gramEnd"/>
            <w:r w:rsidRPr="00223386">
              <w:rPr>
                <w:rFonts w:ascii="Times New Roman" w:hAnsi="Times New Roman" w:cs="Times New Roman"/>
                <w:sz w:val="20"/>
                <w:szCs w:val="20"/>
              </w:rPr>
              <w:t xml:space="preserve"> подход, както за сегашните Правилник и структура (т.е. какви са негативите от запазване на настоящата структура), така и за бъдещите промени в тях (т.е какви ползи във финансово и административно отношение ще бъдат получени). Не са приложени финансови разчети, планове за промяна и/или преквалификация на личния състав, резултати и препоръки </w:t>
            </w:r>
            <w:r w:rsidRPr="00223386">
              <w:rPr>
                <w:rFonts w:ascii="Times New Roman" w:hAnsi="Times New Roman" w:cs="Times New Roman"/>
                <w:sz w:val="20"/>
                <w:szCs w:val="20"/>
              </w:rPr>
              <w:lastRenderedPageBreak/>
              <w:t>от проверки и одити, нито други количествени измерители на въздействието на предложените промени върху ГД „ГВА“ като част от МТИТС, от една страна, и регулатор на въздушния транспорт, от друга.</w:t>
            </w:r>
          </w:p>
          <w:p w:rsidR="00223386" w:rsidRPr="00223386" w:rsidRDefault="00223386" w:rsidP="00223386">
            <w:pPr>
              <w:shd w:val="clear" w:color="auto" w:fill="FFFFFF"/>
              <w:jc w:val="both"/>
              <w:rPr>
                <w:rFonts w:ascii="Times New Roman" w:hAnsi="Times New Roman" w:cs="Times New Roman"/>
                <w:sz w:val="20"/>
                <w:szCs w:val="20"/>
              </w:rPr>
            </w:pPr>
            <w:r w:rsidRPr="00223386">
              <w:rPr>
                <w:rFonts w:ascii="Times New Roman" w:hAnsi="Times New Roman" w:cs="Times New Roman"/>
                <w:sz w:val="20"/>
                <w:szCs w:val="20"/>
              </w:rPr>
              <w:t> </w:t>
            </w:r>
          </w:p>
          <w:p w:rsidR="008B74F9" w:rsidRPr="00223386" w:rsidRDefault="008B74F9" w:rsidP="00223386">
            <w:pPr>
              <w:jc w:val="both"/>
              <w:rPr>
                <w:rFonts w:ascii="Times New Roman" w:hAnsi="Times New Roman" w:cs="Times New Roman"/>
                <w:sz w:val="20"/>
                <w:szCs w:val="20"/>
                <w:lang w:val="bg-BG"/>
              </w:rPr>
            </w:pPr>
          </w:p>
        </w:tc>
        <w:tc>
          <w:tcPr>
            <w:tcW w:w="1462" w:type="dxa"/>
          </w:tcPr>
          <w:p w:rsidR="008B74F9" w:rsidRDefault="00774019" w:rsidP="00F51DA1">
            <w:pPr>
              <w:jc w:val="center"/>
              <w:rPr>
                <w:rFonts w:ascii="Times New Roman" w:hAnsi="Times New Roman" w:cs="Times New Roman"/>
                <w:sz w:val="24"/>
                <w:szCs w:val="24"/>
                <w:lang w:val="bg-BG"/>
              </w:rPr>
            </w:pPr>
            <w:r>
              <w:rPr>
                <w:rFonts w:ascii="Times New Roman" w:hAnsi="Times New Roman" w:cs="Times New Roman"/>
                <w:sz w:val="24"/>
                <w:szCs w:val="24"/>
                <w:lang w:val="bg-BG"/>
              </w:rPr>
              <w:lastRenderedPageBreak/>
              <w:t>Не се приема</w:t>
            </w:r>
          </w:p>
        </w:tc>
        <w:tc>
          <w:tcPr>
            <w:tcW w:w="6760" w:type="dxa"/>
          </w:tcPr>
          <w:p w:rsidR="008B74F9" w:rsidRDefault="00223386" w:rsidP="006072FA">
            <w:pPr>
              <w:jc w:val="both"/>
              <w:rPr>
                <w:rFonts w:ascii="Times New Roman" w:hAnsi="Times New Roman" w:cs="Times New Roman"/>
                <w:sz w:val="20"/>
                <w:szCs w:val="20"/>
                <w:lang w:val="bg-BG"/>
              </w:rPr>
            </w:pPr>
            <w:r w:rsidRPr="00223386">
              <w:rPr>
                <w:rFonts w:ascii="Times New Roman" w:hAnsi="Times New Roman" w:cs="Times New Roman"/>
                <w:sz w:val="20"/>
                <w:szCs w:val="20"/>
              </w:rPr>
              <w:t>Основата функция на наличните структурни звена е да проследяват стриктно спазването на стандартите за безопасност, заложени в Регламент (ЕО) № 216/2008 на Европейския парламент и на Съвета от 20 февруари 2008 година относно общи правила в областта на гражданското въздухоплаване, за създаване на Европейска агенция за авиационна безопасност и за отмяна на Директива 91/670/ЕИО на Съвета, Регламент (ЕО) № 1592/2002 и Директива 2004/36/ЕО № 216/2008 (Базов регламент) и произтичащите от него правила за прилагане, които следва да бъдат съблюдавани от авиационната индустрия. Това е система от отделни процеси, които са неделими и чиято цел е постигане на безопасността в гражданското въздухоплаване</w:t>
            </w:r>
            <w:r w:rsidR="006072FA">
              <w:rPr>
                <w:rFonts w:ascii="Times New Roman" w:hAnsi="Times New Roman" w:cs="Times New Roman"/>
                <w:sz w:val="20"/>
                <w:szCs w:val="20"/>
                <w:lang w:val="bg-BG"/>
              </w:rPr>
              <w:t>.</w:t>
            </w:r>
          </w:p>
          <w:p w:rsidR="006072FA" w:rsidRDefault="006072FA" w:rsidP="006072FA">
            <w:pPr>
              <w:jc w:val="both"/>
              <w:rPr>
                <w:rFonts w:ascii="Times New Roman" w:hAnsi="Times New Roman" w:cs="Times New Roman"/>
                <w:sz w:val="20"/>
                <w:szCs w:val="20"/>
                <w:lang w:val="bg-BG"/>
              </w:rPr>
            </w:pPr>
            <w:r>
              <w:rPr>
                <w:rFonts w:ascii="Times New Roman" w:hAnsi="Times New Roman" w:cs="Times New Roman"/>
                <w:sz w:val="20"/>
                <w:szCs w:val="20"/>
                <w:lang w:val="bg-BG"/>
              </w:rPr>
              <w:t xml:space="preserve">Настоящият проект цели </w:t>
            </w:r>
            <w:r w:rsidR="006824AA">
              <w:rPr>
                <w:rFonts w:ascii="Times New Roman" w:hAnsi="Times New Roman" w:cs="Times New Roman"/>
                <w:sz w:val="20"/>
                <w:szCs w:val="20"/>
                <w:lang w:val="bg-BG"/>
              </w:rPr>
              <w:t xml:space="preserve">изменения в структурата на администрацията, докато контролът върху </w:t>
            </w:r>
            <w:r>
              <w:rPr>
                <w:rFonts w:ascii="Times New Roman" w:hAnsi="Times New Roman" w:cs="Times New Roman"/>
                <w:sz w:val="20"/>
                <w:szCs w:val="20"/>
                <w:lang w:val="bg-BG"/>
              </w:rPr>
              <w:t>бюджетната дисциплина</w:t>
            </w:r>
            <w:r w:rsidR="006824AA">
              <w:rPr>
                <w:rFonts w:ascii="Times New Roman" w:hAnsi="Times New Roman" w:cs="Times New Roman"/>
                <w:sz w:val="20"/>
                <w:szCs w:val="20"/>
                <w:lang w:val="bg-BG"/>
              </w:rPr>
              <w:t xml:space="preserve"> е предмет на други мерки </w:t>
            </w:r>
            <w:r w:rsidR="006824AA">
              <w:rPr>
                <w:rFonts w:ascii="Times New Roman" w:hAnsi="Times New Roman" w:cs="Times New Roman"/>
                <w:sz w:val="20"/>
                <w:szCs w:val="20"/>
                <w:lang w:val="bg-BG"/>
              </w:rPr>
              <w:lastRenderedPageBreak/>
              <w:t>и административни производства, извън обхвата на настоящия проект</w:t>
            </w:r>
            <w:r>
              <w:rPr>
                <w:rFonts w:ascii="Times New Roman" w:hAnsi="Times New Roman" w:cs="Times New Roman"/>
                <w:sz w:val="20"/>
                <w:szCs w:val="20"/>
                <w:lang w:val="bg-BG"/>
              </w:rPr>
              <w:t xml:space="preserve">. </w:t>
            </w:r>
          </w:p>
          <w:p w:rsidR="006072FA" w:rsidRPr="006072FA" w:rsidRDefault="006072FA" w:rsidP="006824AA">
            <w:pPr>
              <w:jc w:val="both"/>
              <w:rPr>
                <w:rFonts w:ascii="Times New Roman" w:hAnsi="Times New Roman" w:cs="Times New Roman"/>
                <w:sz w:val="20"/>
                <w:szCs w:val="20"/>
                <w:lang w:val="bg-BG"/>
              </w:rPr>
            </w:pPr>
            <w:r>
              <w:rPr>
                <w:rFonts w:ascii="Times New Roman" w:hAnsi="Times New Roman" w:cs="Times New Roman"/>
                <w:sz w:val="20"/>
                <w:szCs w:val="20"/>
                <w:lang w:val="bg-BG"/>
              </w:rPr>
              <w:t xml:space="preserve">Личният състав ще продължи да се обучава по начина и в сроковете, предвидени </w:t>
            </w:r>
            <w:r w:rsidR="006824AA">
              <w:rPr>
                <w:rFonts w:ascii="Times New Roman" w:hAnsi="Times New Roman" w:cs="Times New Roman"/>
                <w:sz w:val="20"/>
                <w:szCs w:val="20"/>
                <w:lang w:val="bg-BG"/>
              </w:rPr>
              <w:t>в действащата и приложима за целта уредба</w:t>
            </w:r>
            <w:r>
              <w:rPr>
                <w:rFonts w:ascii="Times New Roman" w:hAnsi="Times New Roman" w:cs="Times New Roman"/>
                <w:sz w:val="20"/>
                <w:szCs w:val="20"/>
                <w:lang w:val="bg-BG"/>
              </w:rPr>
              <w:t>.</w:t>
            </w:r>
          </w:p>
        </w:tc>
      </w:tr>
      <w:tr w:rsidR="008B74F9" w:rsidTr="001F5B24">
        <w:tc>
          <w:tcPr>
            <w:tcW w:w="1694" w:type="dxa"/>
          </w:tcPr>
          <w:p w:rsidR="008B74F9" w:rsidRDefault="00F13768" w:rsidP="00F51DA1">
            <w:pPr>
              <w:jc w:val="center"/>
              <w:rPr>
                <w:rFonts w:ascii="Times New Roman" w:hAnsi="Times New Roman" w:cs="Times New Roman"/>
                <w:sz w:val="24"/>
                <w:szCs w:val="24"/>
                <w:lang w:val="bg-BG"/>
              </w:rPr>
            </w:pPr>
            <w:r>
              <w:rPr>
                <w:rFonts w:ascii="Times New Roman" w:hAnsi="Times New Roman" w:cs="Times New Roman"/>
                <w:sz w:val="24"/>
                <w:szCs w:val="24"/>
                <w:lang w:val="bg-BG"/>
              </w:rPr>
              <w:lastRenderedPageBreak/>
              <w:t>3.</w:t>
            </w:r>
            <w:r w:rsidR="008B74F9">
              <w:rPr>
                <w:rFonts w:ascii="Times New Roman" w:hAnsi="Times New Roman" w:cs="Times New Roman"/>
                <w:sz w:val="24"/>
                <w:szCs w:val="24"/>
                <w:lang w:val="bg-BG"/>
              </w:rPr>
              <w:t>Асоциация на българските авиокомпании</w:t>
            </w:r>
          </w:p>
          <w:p w:rsidR="008B74F9" w:rsidRDefault="008B74F9" w:rsidP="00F51DA1">
            <w:pPr>
              <w:jc w:val="center"/>
              <w:rPr>
                <w:rFonts w:ascii="Times New Roman" w:hAnsi="Times New Roman" w:cs="Times New Roman"/>
                <w:sz w:val="24"/>
                <w:szCs w:val="24"/>
                <w:lang w:val="bg-BG"/>
              </w:rPr>
            </w:pPr>
          </w:p>
          <w:p w:rsidR="008B74F9" w:rsidRDefault="008B74F9" w:rsidP="00F51DA1">
            <w:pPr>
              <w:jc w:val="center"/>
              <w:rPr>
                <w:rFonts w:ascii="Times New Roman" w:hAnsi="Times New Roman" w:cs="Times New Roman"/>
                <w:sz w:val="24"/>
                <w:szCs w:val="24"/>
                <w:lang w:val="bg-BG"/>
              </w:rPr>
            </w:pPr>
          </w:p>
          <w:p w:rsidR="008B74F9" w:rsidRDefault="008B74F9" w:rsidP="00F51DA1">
            <w:pPr>
              <w:jc w:val="center"/>
              <w:rPr>
                <w:rFonts w:ascii="Times New Roman" w:hAnsi="Times New Roman" w:cs="Times New Roman"/>
                <w:sz w:val="24"/>
                <w:szCs w:val="24"/>
                <w:lang w:val="bg-BG"/>
              </w:rPr>
            </w:pPr>
          </w:p>
        </w:tc>
        <w:tc>
          <w:tcPr>
            <w:tcW w:w="3517" w:type="dxa"/>
          </w:tcPr>
          <w:p w:rsidR="00223386" w:rsidRPr="00223386" w:rsidRDefault="00223386" w:rsidP="00223386">
            <w:pPr>
              <w:shd w:val="clear" w:color="auto" w:fill="FFFFFF"/>
              <w:jc w:val="both"/>
              <w:rPr>
                <w:rFonts w:ascii="Times New Roman" w:hAnsi="Times New Roman" w:cs="Times New Roman"/>
                <w:sz w:val="20"/>
                <w:szCs w:val="20"/>
              </w:rPr>
            </w:pPr>
            <w:r w:rsidRPr="00223386">
              <w:rPr>
                <w:rFonts w:ascii="Times New Roman" w:hAnsi="Times New Roman" w:cs="Times New Roman"/>
                <w:sz w:val="20"/>
                <w:szCs w:val="20"/>
              </w:rPr>
              <w:t xml:space="preserve">Доколкото Европейската комисия и Парламентът, в качеството си на законодателни органи, и Европейската агенция за авиационна безопасност – </w:t>
            </w:r>
            <w:proofErr w:type="gramStart"/>
            <w:r w:rsidRPr="00223386">
              <w:rPr>
                <w:rFonts w:ascii="Times New Roman" w:hAnsi="Times New Roman" w:cs="Times New Roman"/>
                <w:sz w:val="20"/>
                <w:szCs w:val="20"/>
              </w:rPr>
              <w:t>EASA ,</w:t>
            </w:r>
            <w:proofErr w:type="gramEnd"/>
            <w:r w:rsidRPr="00223386">
              <w:rPr>
                <w:rFonts w:ascii="Times New Roman" w:hAnsi="Times New Roman" w:cs="Times New Roman"/>
                <w:sz w:val="20"/>
                <w:szCs w:val="20"/>
              </w:rPr>
              <w:t xml:space="preserve"> в качеството се на технически орган към Европейската комисия, следват и развиват своите дейности на основата на и в съответствие с принципите на Чикагската конвенция, то те нямат за цел и не са издавали насоки, препоръки и указания относно цялостното устройство и структура на националните авиационни власти в областта на гражданското въздухоплаване. Основанието за предвидените промени, визирайки повторението на устройството и структурата на европейските организации е некоректно, поради факта, че целите на тези организации като цяло не съвпадат с обхвата, целите и задачите на националните авиационни власти, които имат по-широк спектър на отговорност и функции в национален и международен аспект. Единственият международен документ, който третира структури на национални авиационни власти е дефиниран като критичен елемент СЕ-3 в ICAO Doc. 9734.</w:t>
            </w:r>
          </w:p>
          <w:p w:rsidR="008B74F9" w:rsidRPr="00223386" w:rsidRDefault="008B74F9" w:rsidP="00223386">
            <w:pPr>
              <w:shd w:val="clear" w:color="auto" w:fill="FFFFFF"/>
              <w:jc w:val="both"/>
              <w:rPr>
                <w:rFonts w:ascii="Times New Roman" w:hAnsi="Times New Roman" w:cs="Times New Roman"/>
                <w:sz w:val="20"/>
                <w:szCs w:val="20"/>
                <w:lang w:val="bg-BG"/>
              </w:rPr>
            </w:pPr>
          </w:p>
        </w:tc>
        <w:tc>
          <w:tcPr>
            <w:tcW w:w="1462" w:type="dxa"/>
          </w:tcPr>
          <w:p w:rsidR="008B74F9" w:rsidRDefault="00774019" w:rsidP="00F51DA1">
            <w:pPr>
              <w:jc w:val="center"/>
              <w:rPr>
                <w:rFonts w:ascii="Times New Roman" w:hAnsi="Times New Roman" w:cs="Times New Roman"/>
                <w:sz w:val="24"/>
                <w:szCs w:val="24"/>
                <w:lang w:val="bg-BG"/>
              </w:rPr>
            </w:pPr>
            <w:r>
              <w:rPr>
                <w:rFonts w:ascii="Times New Roman" w:hAnsi="Times New Roman" w:cs="Times New Roman"/>
                <w:sz w:val="24"/>
                <w:szCs w:val="24"/>
                <w:lang w:val="bg-BG"/>
              </w:rPr>
              <w:lastRenderedPageBreak/>
              <w:t>Не се приема</w:t>
            </w:r>
          </w:p>
        </w:tc>
        <w:tc>
          <w:tcPr>
            <w:tcW w:w="6760" w:type="dxa"/>
          </w:tcPr>
          <w:p w:rsidR="006072FA" w:rsidRPr="006072FA" w:rsidRDefault="006072FA" w:rsidP="006072FA">
            <w:pPr>
              <w:spacing w:after="120"/>
              <w:jc w:val="both"/>
              <w:rPr>
                <w:rFonts w:ascii="Times New Roman" w:eastAsia="Calibri" w:hAnsi="Times New Roman" w:cs="Times New Roman"/>
                <w:sz w:val="20"/>
                <w:szCs w:val="20"/>
              </w:rPr>
            </w:pPr>
            <w:r w:rsidRPr="006072FA">
              <w:rPr>
                <w:rFonts w:ascii="Times New Roman" w:eastAsia="Calibri" w:hAnsi="Times New Roman" w:cs="Times New Roman"/>
                <w:sz w:val="20"/>
                <w:szCs w:val="20"/>
                <w:lang w:val="bg-BG"/>
              </w:rPr>
              <w:t xml:space="preserve">От посоченото твърдение </w:t>
            </w:r>
            <w:r w:rsidR="006C3E0E">
              <w:rPr>
                <w:rFonts w:ascii="Times New Roman" w:eastAsia="Calibri" w:hAnsi="Times New Roman" w:cs="Times New Roman"/>
                <w:sz w:val="20"/>
                <w:szCs w:val="20"/>
                <w:lang w:val="bg-BG"/>
              </w:rPr>
              <w:t xml:space="preserve">в цитираното становище на АБА </w:t>
            </w:r>
            <w:r w:rsidRPr="006072FA">
              <w:rPr>
                <w:rFonts w:ascii="Times New Roman" w:eastAsia="Calibri" w:hAnsi="Times New Roman" w:cs="Times New Roman"/>
                <w:sz w:val="20"/>
                <w:szCs w:val="20"/>
                <w:lang w:val="bg-BG"/>
              </w:rPr>
              <w:t>следва изводът, че не съществува еднообразен стандарт за устройство и структура на национална въздухоплавателна власт, приложима за всяка една държава – член на ЕС.</w:t>
            </w:r>
          </w:p>
          <w:p w:rsidR="006072FA" w:rsidRPr="006072FA" w:rsidRDefault="006072FA" w:rsidP="006072FA">
            <w:pPr>
              <w:spacing w:after="120"/>
              <w:jc w:val="both"/>
              <w:rPr>
                <w:rFonts w:ascii="Times New Roman" w:eastAsia="Calibri" w:hAnsi="Times New Roman" w:cs="Times New Roman"/>
                <w:sz w:val="20"/>
                <w:szCs w:val="20"/>
                <w:lang w:val="bg-BG"/>
              </w:rPr>
            </w:pPr>
            <w:r w:rsidRPr="006072FA">
              <w:rPr>
                <w:rFonts w:ascii="Times New Roman" w:eastAsia="Calibri" w:hAnsi="Times New Roman" w:cs="Times New Roman"/>
                <w:sz w:val="20"/>
                <w:szCs w:val="20"/>
                <w:lang w:val="bg-BG"/>
              </w:rPr>
              <w:t>В тази връзка реда и начина за създаването и функционирането на националната гражданска въздухоплавателна администрация е според суверенната преценка на дадена държава – член на ЕС.</w:t>
            </w:r>
          </w:p>
          <w:p w:rsidR="008B74F9" w:rsidRDefault="00223386" w:rsidP="006824AA">
            <w:pPr>
              <w:shd w:val="clear" w:color="auto" w:fill="FFFFFF"/>
              <w:jc w:val="both"/>
              <w:rPr>
                <w:rFonts w:ascii="Times New Roman" w:hAnsi="Times New Roman" w:cs="Times New Roman"/>
                <w:sz w:val="24"/>
                <w:szCs w:val="24"/>
                <w:lang w:val="bg-BG"/>
              </w:rPr>
            </w:pPr>
            <w:r w:rsidRPr="00223386">
              <w:rPr>
                <w:rFonts w:ascii="Times New Roman" w:hAnsi="Times New Roman" w:cs="Times New Roman"/>
                <w:sz w:val="20"/>
                <w:szCs w:val="20"/>
              </w:rPr>
              <w:t>ГД ГВА отчита и в практиката си не е пренебрегвала цитираните разпоредби в част СЕ – 3 от документа</w:t>
            </w:r>
            <w:r w:rsidR="006824AA">
              <w:rPr>
                <w:rFonts w:ascii="Times New Roman" w:hAnsi="Times New Roman" w:cs="Times New Roman"/>
                <w:sz w:val="20"/>
                <w:szCs w:val="20"/>
                <w:lang w:val="bg-BG"/>
              </w:rPr>
              <w:t>.</w:t>
            </w:r>
            <w:r w:rsidRPr="00223386">
              <w:rPr>
                <w:rFonts w:ascii="Times New Roman" w:hAnsi="Times New Roman" w:cs="Times New Roman"/>
                <w:sz w:val="20"/>
                <w:szCs w:val="20"/>
              </w:rPr>
              <w:t xml:space="preserve"> </w:t>
            </w:r>
            <w:proofErr w:type="gramStart"/>
            <w:r w:rsidR="006824AA" w:rsidRPr="006824AA">
              <w:rPr>
                <w:rFonts w:ascii="Times New Roman" w:hAnsi="Times New Roman"/>
                <w:sz w:val="20"/>
                <w:szCs w:val="20"/>
              </w:rPr>
              <w:t>но</w:t>
            </w:r>
            <w:proofErr w:type="gramEnd"/>
            <w:r w:rsidR="006824AA" w:rsidRPr="006824AA">
              <w:rPr>
                <w:rFonts w:ascii="Times New Roman" w:hAnsi="Times New Roman"/>
                <w:sz w:val="20"/>
                <w:szCs w:val="20"/>
              </w:rPr>
              <w:t xml:space="preserve"> същевременно считаме, че предложеното с настоящия правилник устройство не е в противоречие </w:t>
            </w:r>
            <w:r w:rsidR="006824AA">
              <w:rPr>
                <w:rFonts w:ascii="Times New Roman" w:hAnsi="Times New Roman"/>
                <w:sz w:val="20"/>
                <w:szCs w:val="20"/>
                <w:lang w:val="bg-BG"/>
              </w:rPr>
              <w:t xml:space="preserve">с </w:t>
            </w:r>
            <w:r w:rsidR="006824AA" w:rsidRPr="006824AA">
              <w:rPr>
                <w:rFonts w:ascii="Times New Roman" w:hAnsi="Times New Roman"/>
                <w:sz w:val="20"/>
                <w:szCs w:val="20"/>
              </w:rPr>
              <w:t>Конвенцията за международно гражданско въздухоплаване, нито с Анексите към нея, а още по-малко с актовете на ЕС и EASA. По наше мнение са отчетени актуалните необходимости от осъвременяване на структурата, както и по-доброто функциониране и оптимизиране на наличните човешки и финансови ресурси. Както е посочено в заключението на доклада, съдържащ мотивите на предложения от ГД ГВА проект на правилник за изменение и допълнение на УП на ГД ГВА, целта на настоящото предложение са подобряване на административното управление и укрепване на бюджетната дисциплина. Посочените цели са неотменим приоритет за институцията ГД ГВА, особено в светлината на опита й от последната бюджетна и календарна година</w:t>
            </w:r>
            <w:r w:rsidR="006824AA" w:rsidRPr="006824AA">
              <w:rPr>
                <w:rFonts w:ascii="Times New Roman" w:hAnsi="Times New Roman"/>
                <w:sz w:val="24"/>
                <w:szCs w:val="24"/>
              </w:rPr>
              <w:t>.</w:t>
            </w:r>
          </w:p>
        </w:tc>
      </w:tr>
      <w:tr w:rsidR="008B74F9" w:rsidTr="001F5B24">
        <w:tc>
          <w:tcPr>
            <w:tcW w:w="1694" w:type="dxa"/>
          </w:tcPr>
          <w:p w:rsidR="008B74F9" w:rsidRDefault="00F13768" w:rsidP="00551A00">
            <w:pPr>
              <w:jc w:val="center"/>
              <w:rPr>
                <w:rFonts w:ascii="Times New Roman" w:hAnsi="Times New Roman" w:cs="Times New Roman"/>
                <w:sz w:val="24"/>
                <w:szCs w:val="24"/>
                <w:lang w:val="bg-BG"/>
              </w:rPr>
            </w:pPr>
            <w:r>
              <w:rPr>
                <w:rFonts w:ascii="Times New Roman" w:hAnsi="Times New Roman" w:cs="Times New Roman"/>
                <w:sz w:val="24"/>
                <w:szCs w:val="24"/>
                <w:lang w:val="bg-BG"/>
              </w:rPr>
              <w:lastRenderedPageBreak/>
              <w:t>4.</w:t>
            </w:r>
            <w:r w:rsidR="00551A00">
              <w:rPr>
                <w:rFonts w:ascii="Times New Roman" w:hAnsi="Times New Roman" w:cs="Times New Roman"/>
                <w:sz w:val="24"/>
                <w:szCs w:val="24"/>
                <w:lang w:val="bg-BG"/>
              </w:rPr>
              <w:t>Асоциация на българските авиокомпании</w:t>
            </w:r>
          </w:p>
        </w:tc>
        <w:tc>
          <w:tcPr>
            <w:tcW w:w="3517" w:type="dxa"/>
          </w:tcPr>
          <w:p w:rsidR="00F13768" w:rsidRPr="00F13768" w:rsidRDefault="00F13768" w:rsidP="00F13768">
            <w:pPr>
              <w:shd w:val="clear" w:color="auto" w:fill="FFFFFF"/>
              <w:jc w:val="both"/>
              <w:rPr>
                <w:rFonts w:ascii="Times New Roman" w:hAnsi="Times New Roman" w:cs="Times New Roman"/>
                <w:sz w:val="20"/>
                <w:szCs w:val="20"/>
              </w:rPr>
            </w:pPr>
            <w:r w:rsidRPr="00F13768">
              <w:rPr>
                <w:rFonts w:ascii="Times New Roman" w:hAnsi="Times New Roman" w:cs="Times New Roman"/>
                <w:sz w:val="20"/>
                <w:szCs w:val="20"/>
              </w:rPr>
              <w:t>Цитирания в доклада „пълен системен подход“, прилаган от EASA, предлага унифицирани административни изисквания към Страните членки и техните компетентни власти по отношение на изпълнение на надзорните функции, но не и във връзка с цялостното устройство на Гражданската авиационна администрация.</w:t>
            </w:r>
          </w:p>
          <w:p w:rsidR="008B74F9" w:rsidRPr="00223386" w:rsidRDefault="008B74F9" w:rsidP="00223386">
            <w:pPr>
              <w:jc w:val="both"/>
              <w:rPr>
                <w:rFonts w:ascii="Times New Roman" w:hAnsi="Times New Roman" w:cs="Times New Roman"/>
                <w:sz w:val="20"/>
                <w:szCs w:val="20"/>
                <w:lang w:val="bg-BG"/>
              </w:rPr>
            </w:pPr>
          </w:p>
        </w:tc>
        <w:tc>
          <w:tcPr>
            <w:tcW w:w="1462" w:type="dxa"/>
          </w:tcPr>
          <w:p w:rsidR="008B74F9" w:rsidRDefault="00774019" w:rsidP="00F51DA1">
            <w:pPr>
              <w:jc w:val="center"/>
              <w:rPr>
                <w:rFonts w:ascii="Times New Roman" w:hAnsi="Times New Roman" w:cs="Times New Roman"/>
                <w:sz w:val="24"/>
                <w:szCs w:val="24"/>
                <w:lang w:val="bg-BG"/>
              </w:rPr>
            </w:pPr>
            <w:r>
              <w:rPr>
                <w:rFonts w:ascii="Times New Roman" w:hAnsi="Times New Roman" w:cs="Times New Roman"/>
                <w:sz w:val="24"/>
                <w:szCs w:val="24"/>
                <w:lang w:val="bg-BG"/>
              </w:rPr>
              <w:t>Не се приема</w:t>
            </w:r>
          </w:p>
        </w:tc>
        <w:tc>
          <w:tcPr>
            <w:tcW w:w="6760" w:type="dxa"/>
          </w:tcPr>
          <w:p w:rsidR="008B74F9" w:rsidRPr="00F13768" w:rsidRDefault="00F13768" w:rsidP="006824AA">
            <w:pPr>
              <w:jc w:val="both"/>
              <w:rPr>
                <w:rFonts w:ascii="Times New Roman" w:hAnsi="Times New Roman" w:cs="Times New Roman"/>
                <w:sz w:val="20"/>
                <w:szCs w:val="20"/>
                <w:lang w:val="bg-BG"/>
              </w:rPr>
            </w:pPr>
            <w:r>
              <w:rPr>
                <w:rFonts w:ascii="Times New Roman" w:hAnsi="Times New Roman" w:cs="Times New Roman"/>
                <w:sz w:val="20"/>
                <w:szCs w:val="20"/>
                <w:lang w:val="bg-BG"/>
              </w:rPr>
              <w:t xml:space="preserve">Вж. коментара ни по т. </w:t>
            </w:r>
            <w:r w:rsidR="006824AA">
              <w:rPr>
                <w:rFonts w:ascii="Times New Roman" w:hAnsi="Times New Roman" w:cs="Times New Roman"/>
                <w:sz w:val="20"/>
                <w:szCs w:val="20"/>
                <w:lang w:val="bg-BG"/>
              </w:rPr>
              <w:t>2 и 3</w:t>
            </w:r>
            <w:r>
              <w:rPr>
                <w:rFonts w:ascii="Times New Roman" w:hAnsi="Times New Roman" w:cs="Times New Roman"/>
                <w:sz w:val="20"/>
                <w:szCs w:val="20"/>
                <w:lang w:val="bg-BG"/>
              </w:rPr>
              <w:t>.</w:t>
            </w:r>
          </w:p>
        </w:tc>
      </w:tr>
      <w:tr w:rsidR="008B74F9" w:rsidTr="001F5B24">
        <w:tc>
          <w:tcPr>
            <w:tcW w:w="1694" w:type="dxa"/>
          </w:tcPr>
          <w:p w:rsidR="008B74F9" w:rsidRDefault="00F13768" w:rsidP="00F51DA1">
            <w:pPr>
              <w:jc w:val="center"/>
              <w:rPr>
                <w:rFonts w:ascii="Times New Roman" w:hAnsi="Times New Roman" w:cs="Times New Roman"/>
                <w:sz w:val="24"/>
                <w:szCs w:val="24"/>
                <w:lang w:val="bg-BG"/>
              </w:rPr>
            </w:pPr>
            <w:r>
              <w:rPr>
                <w:rFonts w:ascii="Times New Roman" w:hAnsi="Times New Roman" w:cs="Times New Roman"/>
                <w:sz w:val="24"/>
                <w:szCs w:val="24"/>
                <w:lang w:val="bg-BG"/>
              </w:rPr>
              <w:t>5.</w:t>
            </w:r>
            <w:r w:rsidR="000212C4">
              <w:rPr>
                <w:rFonts w:ascii="Times New Roman" w:hAnsi="Times New Roman" w:cs="Times New Roman"/>
                <w:sz w:val="24"/>
                <w:szCs w:val="24"/>
                <w:lang w:val="bg-BG"/>
              </w:rPr>
              <w:t>Асоциация на българските авиокомпании</w:t>
            </w:r>
          </w:p>
        </w:tc>
        <w:tc>
          <w:tcPr>
            <w:tcW w:w="3517" w:type="dxa"/>
          </w:tcPr>
          <w:p w:rsidR="00F13768" w:rsidRPr="00F13768" w:rsidRDefault="00F13768" w:rsidP="00F13768">
            <w:pPr>
              <w:shd w:val="clear" w:color="auto" w:fill="FFFFFF"/>
              <w:jc w:val="both"/>
              <w:rPr>
                <w:rFonts w:ascii="Times New Roman" w:hAnsi="Times New Roman" w:cs="Times New Roman"/>
                <w:sz w:val="20"/>
                <w:szCs w:val="20"/>
              </w:rPr>
            </w:pPr>
            <w:r w:rsidRPr="00F13768">
              <w:rPr>
                <w:rFonts w:ascii="Times New Roman" w:hAnsi="Times New Roman" w:cs="Times New Roman"/>
                <w:sz w:val="20"/>
                <w:szCs w:val="20"/>
              </w:rPr>
              <w:t>ГД „ГВА</w:t>
            </w:r>
            <w:proofErr w:type="gramStart"/>
            <w:r w:rsidRPr="00F13768">
              <w:rPr>
                <w:rFonts w:ascii="Times New Roman" w:hAnsi="Times New Roman" w:cs="Times New Roman"/>
                <w:sz w:val="20"/>
                <w:szCs w:val="20"/>
              </w:rPr>
              <w:t>“ е</w:t>
            </w:r>
            <w:proofErr w:type="gramEnd"/>
            <w:r w:rsidRPr="00F13768">
              <w:rPr>
                <w:rFonts w:ascii="Times New Roman" w:hAnsi="Times New Roman" w:cs="Times New Roman"/>
                <w:sz w:val="20"/>
                <w:szCs w:val="20"/>
              </w:rPr>
              <w:t xml:space="preserve"> специализиран орган, където трябва ясно да се разграничат дейностите, извършвани от специализирания технически състав от поддържащите  и други съпътстващи дейности. Смесването на функции на специализираната и обща част на администрацията води до нарушаване на логическата връзка по отношение на сертификационните и надзорни дейности. Като пример може да се посочи, че в редица европейски и други водещи държави, широка практика е дейностите по икономическото регулиране на въздухоплавателната дейност да се изпълняват от други държавни структури или от общата администрация на националните въздухоплавателни власти.</w:t>
            </w:r>
          </w:p>
          <w:p w:rsidR="008B74F9" w:rsidRPr="00223386" w:rsidRDefault="008B74F9" w:rsidP="00223386">
            <w:pPr>
              <w:jc w:val="both"/>
              <w:rPr>
                <w:rFonts w:ascii="Times New Roman" w:hAnsi="Times New Roman" w:cs="Times New Roman"/>
                <w:sz w:val="20"/>
                <w:szCs w:val="20"/>
                <w:lang w:val="bg-BG"/>
              </w:rPr>
            </w:pPr>
          </w:p>
        </w:tc>
        <w:tc>
          <w:tcPr>
            <w:tcW w:w="1462" w:type="dxa"/>
          </w:tcPr>
          <w:p w:rsidR="008B74F9" w:rsidRDefault="00774019" w:rsidP="00F51DA1">
            <w:pPr>
              <w:jc w:val="center"/>
              <w:rPr>
                <w:rFonts w:ascii="Times New Roman" w:hAnsi="Times New Roman" w:cs="Times New Roman"/>
                <w:sz w:val="24"/>
                <w:szCs w:val="24"/>
                <w:lang w:val="bg-BG"/>
              </w:rPr>
            </w:pPr>
            <w:r>
              <w:rPr>
                <w:rFonts w:ascii="Times New Roman" w:hAnsi="Times New Roman" w:cs="Times New Roman"/>
                <w:sz w:val="24"/>
                <w:szCs w:val="24"/>
                <w:lang w:val="bg-BG"/>
              </w:rPr>
              <w:t>Не се приема</w:t>
            </w:r>
          </w:p>
        </w:tc>
        <w:tc>
          <w:tcPr>
            <w:tcW w:w="6760" w:type="dxa"/>
          </w:tcPr>
          <w:p w:rsidR="008B74F9" w:rsidRDefault="00F13768" w:rsidP="00C16292">
            <w:pPr>
              <w:jc w:val="both"/>
              <w:rPr>
                <w:rFonts w:ascii="Times New Roman" w:hAnsi="Times New Roman" w:cs="Times New Roman"/>
                <w:sz w:val="24"/>
                <w:szCs w:val="24"/>
                <w:lang w:val="bg-BG"/>
              </w:rPr>
            </w:pPr>
            <w:r w:rsidRPr="00F13768">
              <w:rPr>
                <w:rFonts w:ascii="Times New Roman" w:hAnsi="Times New Roman" w:cs="Times New Roman"/>
                <w:sz w:val="20"/>
                <w:szCs w:val="20"/>
                <w:lang w:val="bg-BG"/>
              </w:rPr>
              <w:t>П</w:t>
            </w:r>
            <w:r w:rsidRPr="00F13768">
              <w:rPr>
                <w:rFonts w:ascii="Times New Roman" w:hAnsi="Times New Roman" w:cs="Times New Roman"/>
                <w:sz w:val="20"/>
                <w:szCs w:val="20"/>
              </w:rPr>
              <w:t xml:space="preserve">одходът спрямо всички направления в безопасността е унифициран, почива на едни и същи одитни стандарти, като правилата за изпълнение (Implementing rules), които следва да бъдат спазвани от субектите от индустрията и от националния надзорен орган, се създават </w:t>
            </w:r>
            <w:r w:rsidR="00C16292">
              <w:rPr>
                <w:rFonts w:ascii="Times New Roman" w:hAnsi="Times New Roman" w:cs="Times New Roman"/>
                <w:sz w:val="20"/>
                <w:szCs w:val="20"/>
                <w:lang w:val="bg-BG"/>
              </w:rPr>
              <w:t xml:space="preserve">въз основа на </w:t>
            </w:r>
            <w:r w:rsidRPr="00F13768">
              <w:rPr>
                <w:rFonts w:ascii="Times New Roman" w:hAnsi="Times New Roman" w:cs="Times New Roman"/>
                <w:sz w:val="20"/>
                <w:szCs w:val="20"/>
              </w:rPr>
              <w:t xml:space="preserve"> уеднаквен нормотворчески модел</w:t>
            </w:r>
            <w:r>
              <w:t>.</w:t>
            </w:r>
          </w:p>
        </w:tc>
      </w:tr>
      <w:tr w:rsidR="008B74F9" w:rsidTr="001F5B24">
        <w:tc>
          <w:tcPr>
            <w:tcW w:w="1694" w:type="dxa"/>
          </w:tcPr>
          <w:p w:rsidR="008B74F9" w:rsidRDefault="006824AA" w:rsidP="00F51DA1">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6. </w:t>
            </w:r>
            <w:r w:rsidR="000212C4">
              <w:rPr>
                <w:rFonts w:ascii="Times New Roman" w:hAnsi="Times New Roman" w:cs="Times New Roman"/>
                <w:sz w:val="24"/>
                <w:szCs w:val="24"/>
                <w:lang w:val="bg-BG"/>
              </w:rPr>
              <w:t>Асоциация на българските авиокомпании</w:t>
            </w:r>
          </w:p>
        </w:tc>
        <w:tc>
          <w:tcPr>
            <w:tcW w:w="3517" w:type="dxa"/>
          </w:tcPr>
          <w:p w:rsidR="009F2C60" w:rsidRPr="009F2C60" w:rsidRDefault="009F2C60" w:rsidP="009F2C60">
            <w:pPr>
              <w:shd w:val="clear" w:color="auto" w:fill="FFFFFF"/>
              <w:jc w:val="both"/>
              <w:rPr>
                <w:rFonts w:ascii="Times New Roman" w:hAnsi="Times New Roman" w:cs="Times New Roman"/>
                <w:sz w:val="20"/>
                <w:szCs w:val="20"/>
              </w:rPr>
            </w:pPr>
            <w:r w:rsidRPr="009F2C60">
              <w:rPr>
                <w:rFonts w:ascii="Times New Roman" w:hAnsi="Times New Roman" w:cs="Times New Roman"/>
                <w:sz w:val="20"/>
                <w:szCs w:val="20"/>
              </w:rPr>
              <w:t xml:space="preserve">По отношение на Авиационната сигурност надзора се осъществява от структури/звена, които се състоят от сертифицирани лица със специална подготовка, знания и умения. Тяхната дейност има пряка връзка с летищните, авиационни, наземни </w:t>
            </w:r>
            <w:r w:rsidRPr="009F2C60">
              <w:rPr>
                <w:rFonts w:ascii="Times New Roman" w:hAnsi="Times New Roman" w:cs="Times New Roman"/>
                <w:sz w:val="20"/>
                <w:szCs w:val="20"/>
              </w:rPr>
              <w:lastRenderedPageBreak/>
              <w:t>оператори, както и с доставчиците на аеронавигационни услуги. Разполагането на важна дейност като „авиационна сигурност</w:t>
            </w:r>
            <w:proofErr w:type="gramStart"/>
            <w:r w:rsidRPr="009F2C60">
              <w:rPr>
                <w:rFonts w:ascii="Times New Roman" w:hAnsi="Times New Roman" w:cs="Times New Roman"/>
                <w:sz w:val="20"/>
                <w:szCs w:val="20"/>
              </w:rPr>
              <w:t>“ съвместно</w:t>
            </w:r>
            <w:proofErr w:type="gramEnd"/>
            <w:r w:rsidRPr="009F2C60">
              <w:rPr>
                <w:rFonts w:ascii="Times New Roman" w:hAnsi="Times New Roman" w:cs="Times New Roman"/>
                <w:sz w:val="20"/>
                <w:szCs w:val="20"/>
              </w:rPr>
              <w:t xml:space="preserve"> със структури, които са натоварени с правно обслужване, икономическа и международна дейност е в дисбаланс с компетенциите на другите две звена в предложената дирекция. Остава отворен въпроса за трудовия статут на служителите в подобна дирекция, тъй като в момента заетите в отдел „Правен“ и „Международни дейности“ са държавни служители с осигурена мобилност в други звена на държавната администрация, а служителите в отдел „Авиационна безопасност“ (както и всички, заети с надзорни дейности в специализираната администрация) са служители по трудов договор към ГД „ГВА“.</w:t>
            </w:r>
          </w:p>
          <w:p w:rsidR="008B74F9" w:rsidRPr="00223386" w:rsidRDefault="008B74F9" w:rsidP="00223386">
            <w:pPr>
              <w:jc w:val="both"/>
              <w:rPr>
                <w:rFonts w:ascii="Times New Roman" w:hAnsi="Times New Roman" w:cs="Times New Roman"/>
                <w:sz w:val="20"/>
                <w:szCs w:val="20"/>
                <w:lang w:val="bg-BG"/>
              </w:rPr>
            </w:pPr>
          </w:p>
        </w:tc>
        <w:tc>
          <w:tcPr>
            <w:tcW w:w="1462" w:type="dxa"/>
          </w:tcPr>
          <w:p w:rsidR="008B74F9" w:rsidRDefault="00774019" w:rsidP="00F51DA1">
            <w:pPr>
              <w:jc w:val="center"/>
              <w:rPr>
                <w:rFonts w:ascii="Times New Roman" w:hAnsi="Times New Roman" w:cs="Times New Roman"/>
                <w:sz w:val="24"/>
                <w:szCs w:val="24"/>
                <w:lang w:val="bg-BG"/>
              </w:rPr>
            </w:pPr>
            <w:r>
              <w:rPr>
                <w:rFonts w:ascii="Times New Roman" w:hAnsi="Times New Roman" w:cs="Times New Roman"/>
                <w:sz w:val="24"/>
                <w:szCs w:val="24"/>
                <w:lang w:val="bg-BG"/>
              </w:rPr>
              <w:lastRenderedPageBreak/>
              <w:t>Не се приема</w:t>
            </w:r>
          </w:p>
        </w:tc>
        <w:tc>
          <w:tcPr>
            <w:tcW w:w="6760" w:type="dxa"/>
          </w:tcPr>
          <w:p w:rsidR="004D5326" w:rsidRPr="004D5326" w:rsidRDefault="004D5326" w:rsidP="004832A9">
            <w:pPr>
              <w:spacing w:after="120"/>
              <w:jc w:val="both"/>
              <w:rPr>
                <w:rFonts w:ascii="Times New Roman" w:eastAsia="Calibri" w:hAnsi="Times New Roman" w:cs="Times New Roman"/>
                <w:sz w:val="20"/>
                <w:szCs w:val="20"/>
                <w:lang w:val="bg-BG"/>
              </w:rPr>
            </w:pPr>
            <w:r w:rsidRPr="004D5326">
              <w:rPr>
                <w:rFonts w:ascii="Times New Roman" w:eastAsia="Calibri" w:hAnsi="Times New Roman" w:cs="Times New Roman"/>
                <w:sz w:val="20"/>
                <w:szCs w:val="20"/>
                <w:lang w:val="bg-BG"/>
              </w:rPr>
              <w:t xml:space="preserve">Разполагането на авиационната сигурност в новосъздадената дирекция „Регулиране, международно сътрудничество и авиационна сигурност“ според нас не влиза в противоречие с трудовия статут на служителите, тъй като една част от тях са на служебно, а друга част – на трудово правоотношение. Това е така, защото Класификатора на длъжностите предвижда инспекторските длъжности да се заемат на трудово правоотношение, а експертните на служебно такова. Дали един служител, </w:t>
            </w:r>
            <w:r w:rsidRPr="004D5326">
              <w:rPr>
                <w:rFonts w:ascii="Times New Roman" w:eastAsia="Calibri" w:hAnsi="Times New Roman" w:cs="Times New Roman"/>
                <w:sz w:val="20"/>
                <w:szCs w:val="20"/>
                <w:lang w:val="bg-BG"/>
              </w:rPr>
              <w:lastRenderedPageBreak/>
              <w:t>независимо на какво правоотношение е, ще премине на друга работа в друга администрация зависи от волята на съответния служител, защото опцията мобилност за преминаване от една администрация в друга е само една от възможностите за заемане на длъжност по реда на Закона за държавния служител и тя не е основна. Основната възможност е конкурс и такова е и законодателното уреждане на въпрос съгласно ЗДСл. А възможността да се яви на конкурс е реална и отворена пред всеки един служител, независимо какво правоотношение заема , стига да отговаря на изискванията за заемане на конкурсната длъжност.</w:t>
            </w:r>
          </w:p>
          <w:p w:rsidR="004D5326" w:rsidRDefault="004D5326" w:rsidP="009F2C60">
            <w:pPr>
              <w:jc w:val="both"/>
              <w:rPr>
                <w:rFonts w:ascii="Times New Roman" w:hAnsi="Times New Roman" w:cs="Times New Roman"/>
                <w:sz w:val="24"/>
                <w:szCs w:val="24"/>
                <w:lang w:val="bg-BG"/>
              </w:rPr>
            </w:pPr>
          </w:p>
        </w:tc>
      </w:tr>
      <w:tr w:rsidR="008B74F9" w:rsidTr="001F5B24">
        <w:tc>
          <w:tcPr>
            <w:tcW w:w="1694" w:type="dxa"/>
          </w:tcPr>
          <w:p w:rsidR="008B74F9" w:rsidRDefault="006824AA" w:rsidP="00F51DA1">
            <w:pPr>
              <w:jc w:val="center"/>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7. </w:t>
            </w:r>
            <w:r w:rsidR="000212C4">
              <w:rPr>
                <w:rFonts w:ascii="Times New Roman" w:hAnsi="Times New Roman" w:cs="Times New Roman"/>
                <w:sz w:val="24"/>
                <w:szCs w:val="24"/>
                <w:lang w:val="bg-BG"/>
              </w:rPr>
              <w:t>Асоциация на българските авиокомпании</w:t>
            </w:r>
          </w:p>
        </w:tc>
        <w:tc>
          <w:tcPr>
            <w:tcW w:w="3517" w:type="dxa"/>
          </w:tcPr>
          <w:p w:rsidR="008B74F9" w:rsidRPr="009F2C60" w:rsidRDefault="009F2C60" w:rsidP="00223386">
            <w:pPr>
              <w:jc w:val="both"/>
              <w:rPr>
                <w:rFonts w:ascii="Times New Roman" w:hAnsi="Times New Roman" w:cs="Times New Roman"/>
                <w:sz w:val="20"/>
                <w:szCs w:val="20"/>
                <w:lang w:val="bg-BG"/>
              </w:rPr>
            </w:pPr>
            <w:r w:rsidRPr="009F2C60">
              <w:rPr>
                <w:rFonts w:ascii="Times New Roman" w:hAnsi="Times New Roman" w:cs="Times New Roman"/>
                <w:sz w:val="20"/>
                <w:szCs w:val="20"/>
              </w:rPr>
              <w:t>В предложението няма обособена част, обхващаща дейността, свързана с човешките ресурси, подобряване на административния капацитет и обучението на персонала. Именно тези аспекти най-силно засягат имиджа на ГД „ГВА“ пред авиационната общественост и, съгласно изнесената в медиите информация, са най-сериозния обект на оплаквания от граждани и организации и проверки от компетентните органи.</w:t>
            </w:r>
          </w:p>
        </w:tc>
        <w:tc>
          <w:tcPr>
            <w:tcW w:w="1462" w:type="dxa"/>
          </w:tcPr>
          <w:p w:rsidR="008B74F9" w:rsidRDefault="00774019" w:rsidP="00F51DA1">
            <w:pPr>
              <w:jc w:val="center"/>
              <w:rPr>
                <w:rFonts w:ascii="Times New Roman" w:hAnsi="Times New Roman" w:cs="Times New Roman"/>
                <w:sz w:val="24"/>
                <w:szCs w:val="24"/>
                <w:lang w:val="bg-BG"/>
              </w:rPr>
            </w:pPr>
            <w:r>
              <w:rPr>
                <w:rFonts w:ascii="Times New Roman" w:hAnsi="Times New Roman" w:cs="Times New Roman"/>
                <w:sz w:val="24"/>
                <w:szCs w:val="24"/>
                <w:lang w:val="bg-BG"/>
              </w:rPr>
              <w:t>Не се приема</w:t>
            </w:r>
          </w:p>
        </w:tc>
        <w:tc>
          <w:tcPr>
            <w:tcW w:w="6760" w:type="dxa"/>
          </w:tcPr>
          <w:p w:rsidR="008B74F9" w:rsidRPr="009F2C60" w:rsidRDefault="009F2C60" w:rsidP="006C3E0E">
            <w:pPr>
              <w:jc w:val="both"/>
              <w:rPr>
                <w:rFonts w:ascii="Times New Roman" w:hAnsi="Times New Roman" w:cs="Times New Roman"/>
                <w:sz w:val="20"/>
                <w:szCs w:val="20"/>
                <w:lang w:val="bg-BG"/>
              </w:rPr>
            </w:pPr>
            <w:r>
              <w:rPr>
                <w:rFonts w:ascii="Times New Roman" w:hAnsi="Times New Roman" w:cs="Times New Roman"/>
                <w:sz w:val="20"/>
                <w:szCs w:val="20"/>
                <w:lang w:val="bg-BG"/>
              </w:rPr>
              <w:t>Предлаганите промени съдържат подходящи и внимателно преценени гаранции за законосъобразното</w:t>
            </w:r>
            <w:r w:rsidR="001F5B24">
              <w:rPr>
                <w:rFonts w:ascii="Times New Roman" w:hAnsi="Times New Roman" w:cs="Times New Roman"/>
                <w:sz w:val="20"/>
                <w:szCs w:val="20"/>
                <w:lang w:val="bg-BG"/>
              </w:rPr>
              <w:t xml:space="preserve">, прозрачно </w:t>
            </w:r>
            <w:r>
              <w:rPr>
                <w:rFonts w:ascii="Times New Roman" w:hAnsi="Times New Roman" w:cs="Times New Roman"/>
                <w:sz w:val="20"/>
                <w:szCs w:val="20"/>
                <w:lang w:val="bg-BG"/>
              </w:rPr>
              <w:t xml:space="preserve">и </w:t>
            </w:r>
            <w:bookmarkStart w:id="0" w:name="_GoBack"/>
            <w:bookmarkEnd w:id="0"/>
            <w:r>
              <w:rPr>
                <w:rFonts w:ascii="Times New Roman" w:hAnsi="Times New Roman" w:cs="Times New Roman"/>
                <w:sz w:val="20"/>
                <w:szCs w:val="20"/>
                <w:lang w:val="bg-BG"/>
              </w:rPr>
              <w:t xml:space="preserve">проследимо </w:t>
            </w:r>
            <w:r w:rsidR="001F5B24">
              <w:rPr>
                <w:rFonts w:ascii="Times New Roman" w:hAnsi="Times New Roman" w:cs="Times New Roman"/>
                <w:sz w:val="20"/>
                <w:szCs w:val="20"/>
                <w:lang w:val="bg-BG"/>
              </w:rPr>
              <w:t xml:space="preserve">от страна на ръководството на ГД ГВА </w:t>
            </w:r>
            <w:r>
              <w:rPr>
                <w:rFonts w:ascii="Times New Roman" w:hAnsi="Times New Roman" w:cs="Times New Roman"/>
                <w:sz w:val="20"/>
                <w:szCs w:val="20"/>
                <w:lang w:val="bg-BG"/>
              </w:rPr>
              <w:t>осъществяване на дейността, отнасяща се до човешките ресурси</w:t>
            </w:r>
            <w:r w:rsidR="006C3E0E">
              <w:rPr>
                <w:rFonts w:ascii="Times New Roman" w:hAnsi="Times New Roman" w:cs="Times New Roman"/>
                <w:sz w:val="20"/>
                <w:szCs w:val="20"/>
                <w:lang w:val="bg-BG"/>
              </w:rPr>
              <w:t xml:space="preserve">. </w:t>
            </w:r>
          </w:p>
        </w:tc>
      </w:tr>
      <w:tr w:rsidR="008B74F9" w:rsidTr="001F5B24">
        <w:tc>
          <w:tcPr>
            <w:tcW w:w="1694" w:type="dxa"/>
          </w:tcPr>
          <w:p w:rsidR="008B74F9" w:rsidRDefault="006824AA" w:rsidP="00F51DA1">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8. </w:t>
            </w:r>
            <w:r w:rsidR="00774019">
              <w:rPr>
                <w:rFonts w:ascii="Times New Roman" w:hAnsi="Times New Roman" w:cs="Times New Roman"/>
                <w:sz w:val="24"/>
                <w:szCs w:val="24"/>
                <w:lang w:val="bg-BG"/>
              </w:rPr>
              <w:t xml:space="preserve">Асоциация на българските </w:t>
            </w:r>
            <w:r w:rsidR="00774019">
              <w:rPr>
                <w:rFonts w:ascii="Times New Roman" w:hAnsi="Times New Roman" w:cs="Times New Roman"/>
                <w:sz w:val="24"/>
                <w:szCs w:val="24"/>
                <w:lang w:val="bg-BG"/>
              </w:rPr>
              <w:lastRenderedPageBreak/>
              <w:t>авиокомпании</w:t>
            </w:r>
          </w:p>
        </w:tc>
        <w:tc>
          <w:tcPr>
            <w:tcW w:w="3517" w:type="dxa"/>
          </w:tcPr>
          <w:p w:rsidR="009F2C60" w:rsidRPr="009F2C60" w:rsidRDefault="009F2C60" w:rsidP="009F2C60">
            <w:pPr>
              <w:shd w:val="clear" w:color="auto" w:fill="FFFFFF"/>
              <w:jc w:val="both"/>
              <w:rPr>
                <w:rFonts w:ascii="Times New Roman" w:hAnsi="Times New Roman" w:cs="Times New Roman"/>
                <w:sz w:val="20"/>
                <w:szCs w:val="20"/>
              </w:rPr>
            </w:pPr>
            <w:r w:rsidRPr="009F2C60">
              <w:rPr>
                <w:rFonts w:ascii="Times New Roman" w:hAnsi="Times New Roman" w:cs="Times New Roman"/>
                <w:sz w:val="20"/>
                <w:szCs w:val="20"/>
              </w:rPr>
              <w:lastRenderedPageBreak/>
              <w:t xml:space="preserve">Броят на служителите, компетентността и обучението на персонала, зает непосредствено с надзор на безопасността, е също така </w:t>
            </w:r>
            <w:r w:rsidRPr="009F2C60">
              <w:rPr>
                <w:rFonts w:ascii="Times New Roman" w:hAnsi="Times New Roman" w:cs="Times New Roman"/>
                <w:sz w:val="20"/>
                <w:szCs w:val="20"/>
              </w:rPr>
              <w:lastRenderedPageBreak/>
              <w:t>обект на многократни забележки при одити от страна на EASA. Предвид ограниченията на личния състав на ГД „ГВА“, създаването на още една дирекция ще доведе до де факто намаляване на специализирания състав, зает директно с надзор на безопасността, за сметка на управленски и административни позиции. Не са приложени доказателства, че предлаганите структурни промени ще доведат до реално повишение на административния капацитет на ГД „ГВА“.</w:t>
            </w:r>
          </w:p>
          <w:p w:rsidR="008B74F9" w:rsidRPr="00223386" w:rsidRDefault="008B74F9" w:rsidP="00223386">
            <w:pPr>
              <w:jc w:val="both"/>
              <w:rPr>
                <w:rFonts w:ascii="Times New Roman" w:hAnsi="Times New Roman" w:cs="Times New Roman"/>
                <w:sz w:val="20"/>
                <w:szCs w:val="20"/>
                <w:lang w:val="bg-BG"/>
              </w:rPr>
            </w:pPr>
          </w:p>
        </w:tc>
        <w:tc>
          <w:tcPr>
            <w:tcW w:w="1462" w:type="dxa"/>
          </w:tcPr>
          <w:p w:rsidR="008B74F9" w:rsidRDefault="00774019" w:rsidP="00F51DA1">
            <w:pPr>
              <w:jc w:val="center"/>
              <w:rPr>
                <w:rFonts w:ascii="Times New Roman" w:hAnsi="Times New Roman" w:cs="Times New Roman"/>
                <w:sz w:val="24"/>
                <w:szCs w:val="24"/>
                <w:lang w:val="bg-BG"/>
              </w:rPr>
            </w:pPr>
            <w:r>
              <w:rPr>
                <w:rFonts w:ascii="Times New Roman" w:hAnsi="Times New Roman" w:cs="Times New Roman"/>
                <w:sz w:val="24"/>
                <w:szCs w:val="24"/>
                <w:lang w:val="bg-BG"/>
              </w:rPr>
              <w:lastRenderedPageBreak/>
              <w:t>Не се приема</w:t>
            </w:r>
          </w:p>
        </w:tc>
        <w:tc>
          <w:tcPr>
            <w:tcW w:w="6760" w:type="dxa"/>
          </w:tcPr>
          <w:p w:rsidR="001F5B24" w:rsidRPr="001F5B24" w:rsidRDefault="001F5B24" w:rsidP="001F5B24">
            <w:pPr>
              <w:spacing w:after="120"/>
              <w:jc w:val="both"/>
              <w:rPr>
                <w:rFonts w:ascii="Times New Roman" w:eastAsia="Calibri" w:hAnsi="Times New Roman" w:cs="Times New Roman"/>
                <w:sz w:val="20"/>
                <w:szCs w:val="20"/>
                <w:lang w:val="bg-BG"/>
              </w:rPr>
            </w:pPr>
            <w:r w:rsidRPr="001F5B24">
              <w:rPr>
                <w:rFonts w:ascii="Times New Roman" w:eastAsia="Calibri" w:hAnsi="Times New Roman" w:cs="Times New Roman"/>
                <w:sz w:val="20"/>
                <w:szCs w:val="20"/>
                <w:lang w:val="bg-BG"/>
              </w:rPr>
              <w:t xml:space="preserve">От членството на страната ни в ЕС и с цел унификация на издаваните оправомощаващи документи от всеки национален надзорен орган в областта на гражданската авиация, ГД ГВА е обект на одити от страна на EASA, и то ежегодни, по различни теми като: лицензи на персонала – </w:t>
            </w:r>
            <w:r w:rsidRPr="001F5B24">
              <w:rPr>
                <w:rFonts w:ascii="Times New Roman" w:eastAsia="Calibri" w:hAnsi="Times New Roman" w:cs="Times New Roman"/>
                <w:sz w:val="20"/>
                <w:szCs w:val="20"/>
                <w:lang w:val="bg-BG"/>
              </w:rPr>
              <w:lastRenderedPageBreak/>
              <w:t xml:space="preserve">летателен и наземен, документи удостоверяващи годност за извършване на дейност – напр. свидетелства за авиационни оператори; свидетелство за извършване на дейност като доставчик на аеронавигационно обслужване; удостоверения за летателна годност както и такива доказващи годността на организациите за поддържане на постоянната летателна годност и др., документи, удостоверяващи годност на съоръжения – летища и наземна техника </w:t>
            </w:r>
            <w:r w:rsidRPr="001F5B24">
              <w:rPr>
                <w:rFonts w:ascii="Times New Roman" w:eastAsia="Calibri" w:hAnsi="Times New Roman" w:cs="Times New Roman"/>
                <w:sz w:val="20"/>
                <w:szCs w:val="20"/>
              </w:rPr>
              <w:t>(</w:t>
            </w:r>
            <w:r w:rsidRPr="001F5B24">
              <w:rPr>
                <w:rFonts w:ascii="Times New Roman" w:eastAsia="Calibri" w:hAnsi="Times New Roman" w:cs="Times New Roman"/>
                <w:sz w:val="20"/>
                <w:szCs w:val="20"/>
                <w:lang w:val="bg-BG"/>
              </w:rPr>
              <w:t>от 2017г с оглед прилагането на Регламент (ЕС) № 139/2014 на Комисията от 12 февруари 2014 година за определяне на изискванията и административните процедури във връзка с летищата в съответствие с Регламент (ЕО) № 216/2008 на Европейския парламент и на Съвета</w:t>
            </w:r>
            <w:r w:rsidRPr="001F5B24">
              <w:rPr>
                <w:rFonts w:ascii="Times New Roman" w:eastAsia="Calibri" w:hAnsi="Times New Roman" w:cs="Times New Roman"/>
                <w:sz w:val="20"/>
                <w:szCs w:val="20"/>
              </w:rPr>
              <w:t>)</w:t>
            </w:r>
            <w:r w:rsidRPr="001F5B24">
              <w:rPr>
                <w:rFonts w:ascii="Times New Roman" w:eastAsia="Calibri" w:hAnsi="Times New Roman" w:cs="Times New Roman"/>
                <w:sz w:val="20"/>
                <w:szCs w:val="20"/>
                <w:lang w:val="bg-BG"/>
              </w:rPr>
              <w:t xml:space="preserve">. Одитите, осъществяване от екипите на EASA следват стандарт за проверка съгласно Регламент за изпълнение (ЕС) № 628/2013 на Комисията от 28 юни 2013 година относно работните методи на Европейската агенция за авиационна безопасност за провеждане на стандартизационни инспекции и контрол на прилагането на правилата, определени в Регламент (ЕО) № 216/2008 на Европейския парламент и на Съвета, и за отмяна на Регламент (ЕО) № 736/2006 на Комисията, като последиците при негативен резултат са както разпореждане за незабавно прекратяване на дадена дейност </w:t>
            </w:r>
            <w:r w:rsidRPr="001F5B24">
              <w:rPr>
                <w:rFonts w:ascii="Times New Roman" w:eastAsia="Calibri" w:hAnsi="Times New Roman" w:cs="Times New Roman"/>
                <w:sz w:val="20"/>
                <w:szCs w:val="20"/>
              </w:rPr>
              <w:t>(</w:t>
            </w:r>
            <w:r w:rsidRPr="001F5B24">
              <w:rPr>
                <w:rFonts w:ascii="Times New Roman" w:eastAsia="Calibri" w:hAnsi="Times New Roman" w:cs="Times New Roman"/>
                <w:sz w:val="20"/>
                <w:szCs w:val="20"/>
                <w:lang w:val="bg-BG"/>
              </w:rPr>
              <w:t>в случаите на immediate safety hazard</w:t>
            </w:r>
            <w:r w:rsidRPr="001F5B24">
              <w:rPr>
                <w:rFonts w:ascii="Times New Roman" w:eastAsia="Calibri" w:hAnsi="Times New Roman" w:cs="Times New Roman"/>
                <w:sz w:val="20"/>
                <w:szCs w:val="20"/>
              </w:rPr>
              <w:t>)</w:t>
            </w:r>
            <w:r w:rsidRPr="001F5B24">
              <w:rPr>
                <w:rFonts w:ascii="Times New Roman" w:eastAsia="Calibri" w:hAnsi="Times New Roman" w:cs="Times New Roman"/>
                <w:sz w:val="20"/>
                <w:szCs w:val="20"/>
                <w:lang w:val="bg-BG"/>
              </w:rPr>
              <w:t>, така и иницииране на наказателна процедура срещу държавата съгласно ДФЕС. До момента администрацията успява да поддържа нива на безопасност и да демонстрира адекватна годност по време на тези одити, които се осъществяват регулярно и мащабно от 2007</w:t>
            </w:r>
            <w:r>
              <w:rPr>
                <w:rFonts w:ascii="Times New Roman" w:eastAsia="Calibri" w:hAnsi="Times New Roman" w:cs="Times New Roman"/>
                <w:sz w:val="20"/>
                <w:szCs w:val="20"/>
                <w:lang w:val="bg-BG"/>
              </w:rPr>
              <w:t xml:space="preserve"> </w:t>
            </w:r>
            <w:r w:rsidRPr="001F5B24">
              <w:rPr>
                <w:rFonts w:ascii="Times New Roman" w:eastAsia="Calibri" w:hAnsi="Times New Roman" w:cs="Times New Roman"/>
                <w:sz w:val="20"/>
                <w:szCs w:val="20"/>
                <w:lang w:val="bg-BG"/>
              </w:rPr>
              <w:t>г</w:t>
            </w:r>
            <w:r>
              <w:rPr>
                <w:rFonts w:ascii="Times New Roman" w:eastAsia="Calibri" w:hAnsi="Times New Roman" w:cs="Times New Roman"/>
                <w:sz w:val="20"/>
                <w:szCs w:val="20"/>
                <w:lang w:val="bg-BG"/>
              </w:rPr>
              <w:t>.</w:t>
            </w:r>
            <w:r w:rsidRPr="001F5B24">
              <w:rPr>
                <w:rFonts w:ascii="Times New Roman" w:eastAsia="Calibri" w:hAnsi="Times New Roman" w:cs="Times New Roman"/>
                <w:sz w:val="20"/>
                <w:szCs w:val="20"/>
                <w:lang w:val="bg-BG"/>
              </w:rPr>
              <w:t xml:space="preserve"> насам.</w:t>
            </w:r>
          </w:p>
          <w:p w:rsidR="008B74F9" w:rsidRDefault="008B74F9" w:rsidP="00F51DA1">
            <w:pPr>
              <w:jc w:val="center"/>
              <w:rPr>
                <w:rFonts w:ascii="Times New Roman" w:hAnsi="Times New Roman" w:cs="Times New Roman"/>
                <w:sz w:val="24"/>
                <w:szCs w:val="24"/>
                <w:lang w:val="bg-BG"/>
              </w:rPr>
            </w:pPr>
          </w:p>
        </w:tc>
      </w:tr>
      <w:tr w:rsidR="008B74F9" w:rsidTr="001F5B24">
        <w:tc>
          <w:tcPr>
            <w:tcW w:w="1694" w:type="dxa"/>
          </w:tcPr>
          <w:p w:rsidR="008B74F9" w:rsidRDefault="006824AA" w:rsidP="00F51DA1">
            <w:pPr>
              <w:jc w:val="center"/>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9. </w:t>
            </w:r>
            <w:r w:rsidR="00774019">
              <w:rPr>
                <w:rFonts w:ascii="Times New Roman" w:hAnsi="Times New Roman" w:cs="Times New Roman"/>
                <w:sz w:val="24"/>
                <w:szCs w:val="24"/>
                <w:lang w:val="bg-BG"/>
              </w:rPr>
              <w:t>Асоциация на българските авиокомпании</w:t>
            </w:r>
          </w:p>
        </w:tc>
        <w:tc>
          <w:tcPr>
            <w:tcW w:w="3517" w:type="dxa"/>
          </w:tcPr>
          <w:p w:rsidR="001F5B24" w:rsidRPr="001F5B24" w:rsidRDefault="001F5B24" w:rsidP="001F5B24">
            <w:pPr>
              <w:shd w:val="clear" w:color="auto" w:fill="FFFFFF"/>
              <w:jc w:val="both"/>
              <w:rPr>
                <w:rFonts w:ascii="Times New Roman" w:hAnsi="Times New Roman" w:cs="Times New Roman"/>
                <w:sz w:val="20"/>
                <w:szCs w:val="20"/>
              </w:rPr>
            </w:pPr>
            <w:r w:rsidRPr="001F5B24">
              <w:rPr>
                <w:rFonts w:ascii="Times New Roman" w:hAnsi="Times New Roman" w:cs="Times New Roman"/>
                <w:sz w:val="20"/>
                <w:szCs w:val="20"/>
              </w:rPr>
              <w:t>Създаването на нова дирекция „Аеронавигационно обслужване, търсене и спасяване при авиационни произшествия</w:t>
            </w:r>
            <w:proofErr w:type="gramStart"/>
            <w:r w:rsidRPr="001F5B24">
              <w:rPr>
                <w:rFonts w:ascii="Times New Roman" w:hAnsi="Times New Roman" w:cs="Times New Roman"/>
                <w:sz w:val="20"/>
                <w:szCs w:val="20"/>
              </w:rPr>
              <w:t>“ не</w:t>
            </w:r>
            <w:proofErr w:type="gramEnd"/>
            <w:r w:rsidRPr="001F5B24">
              <w:rPr>
                <w:rFonts w:ascii="Times New Roman" w:hAnsi="Times New Roman" w:cs="Times New Roman"/>
                <w:sz w:val="20"/>
                <w:szCs w:val="20"/>
              </w:rPr>
              <w:t xml:space="preserve"> е развито в ясна вътрешна структура. Двете основни задачи в тази дирекция предполагат структура, която да диференцира като минимум дейностите по аеронавигационно обслужване от тези по търсене и спасяване.</w:t>
            </w:r>
          </w:p>
          <w:p w:rsidR="001F5B24" w:rsidRPr="001F5B24" w:rsidRDefault="001F5B24" w:rsidP="001F5B24">
            <w:pPr>
              <w:shd w:val="clear" w:color="auto" w:fill="FFFFFF"/>
              <w:jc w:val="both"/>
              <w:rPr>
                <w:rFonts w:ascii="Tahoma" w:hAnsi="Tahoma" w:cs="Tahoma"/>
                <w:sz w:val="21"/>
                <w:szCs w:val="21"/>
              </w:rPr>
            </w:pPr>
            <w:r w:rsidRPr="001F5B24">
              <w:rPr>
                <w:rFonts w:ascii="Tahoma" w:hAnsi="Tahoma" w:cs="Tahoma"/>
                <w:sz w:val="21"/>
                <w:szCs w:val="21"/>
              </w:rPr>
              <w:t> </w:t>
            </w:r>
          </w:p>
          <w:p w:rsidR="008B74F9" w:rsidRPr="00223386" w:rsidRDefault="008B74F9" w:rsidP="00223386">
            <w:pPr>
              <w:jc w:val="both"/>
              <w:rPr>
                <w:rFonts w:ascii="Times New Roman" w:hAnsi="Times New Roman" w:cs="Times New Roman"/>
                <w:sz w:val="20"/>
                <w:szCs w:val="20"/>
                <w:lang w:val="bg-BG"/>
              </w:rPr>
            </w:pPr>
          </w:p>
        </w:tc>
        <w:tc>
          <w:tcPr>
            <w:tcW w:w="1462" w:type="dxa"/>
          </w:tcPr>
          <w:p w:rsidR="008B74F9" w:rsidRDefault="00774019" w:rsidP="00F51DA1">
            <w:pPr>
              <w:jc w:val="center"/>
              <w:rPr>
                <w:rFonts w:ascii="Times New Roman" w:hAnsi="Times New Roman" w:cs="Times New Roman"/>
                <w:sz w:val="24"/>
                <w:szCs w:val="24"/>
                <w:lang w:val="bg-BG"/>
              </w:rPr>
            </w:pPr>
            <w:r>
              <w:rPr>
                <w:rFonts w:ascii="Times New Roman" w:hAnsi="Times New Roman" w:cs="Times New Roman"/>
                <w:sz w:val="24"/>
                <w:szCs w:val="24"/>
                <w:lang w:val="bg-BG"/>
              </w:rPr>
              <w:t>Не се приема</w:t>
            </w:r>
          </w:p>
        </w:tc>
        <w:tc>
          <w:tcPr>
            <w:tcW w:w="6760" w:type="dxa"/>
          </w:tcPr>
          <w:p w:rsidR="001F5B24" w:rsidRPr="001F5B24" w:rsidRDefault="001F5B24" w:rsidP="001F5B24">
            <w:pPr>
              <w:spacing w:after="120"/>
              <w:jc w:val="both"/>
              <w:rPr>
                <w:rFonts w:ascii="Times New Roman" w:eastAsia="Calibri" w:hAnsi="Times New Roman" w:cs="Times New Roman"/>
                <w:sz w:val="20"/>
                <w:szCs w:val="20"/>
                <w:lang w:val="bg-BG"/>
              </w:rPr>
            </w:pPr>
            <w:r w:rsidRPr="001F5B24">
              <w:rPr>
                <w:rFonts w:ascii="Times New Roman" w:eastAsia="Calibri" w:hAnsi="Times New Roman" w:cs="Times New Roman"/>
                <w:sz w:val="20"/>
                <w:szCs w:val="20"/>
                <w:lang w:val="bg-BG"/>
              </w:rPr>
              <w:t xml:space="preserve">Самостоятелното обособяване </w:t>
            </w:r>
            <w:r>
              <w:rPr>
                <w:rFonts w:ascii="Times New Roman" w:eastAsia="Calibri" w:hAnsi="Times New Roman" w:cs="Times New Roman"/>
                <w:sz w:val="20"/>
                <w:szCs w:val="20"/>
                <w:lang w:val="bg-BG"/>
              </w:rPr>
              <w:t xml:space="preserve">на посочената дирекция </w:t>
            </w:r>
            <w:r w:rsidRPr="001F5B24">
              <w:rPr>
                <w:rFonts w:ascii="Times New Roman" w:eastAsia="Calibri" w:hAnsi="Times New Roman" w:cs="Times New Roman"/>
                <w:sz w:val="20"/>
                <w:szCs w:val="20"/>
                <w:lang w:val="bg-BG"/>
              </w:rPr>
              <w:t xml:space="preserve">е продиктувано от необходимостта отделна структурна единица в ГД ГВА да бъде пряко ангажирана с въпросите на АНО и търсене и спасяване при авиационни произшествия. Предвижданият числен състав е 24 щ.бр., което е допълнителен административен аргумент.  </w:t>
            </w:r>
          </w:p>
          <w:p w:rsidR="001F5B24" w:rsidRPr="001F5B24" w:rsidRDefault="001F5B24" w:rsidP="001F5B24">
            <w:pPr>
              <w:spacing w:after="120"/>
              <w:jc w:val="both"/>
              <w:rPr>
                <w:rFonts w:ascii="Times New Roman" w:eastAsia="Calibri" w:hAnsi="Times New Roman" w:cs="Times New Roman"/>
                <w:sz w:val="20"/>
                <w:szCs w:val="20"/>
                <w:lang w:val="bg-BG"/>
              </w:rPr>
            </w:pPr>
            <w:r w:rsidRPr="001F5B24">
              <w:rPr>
                <w:rFonts w:ascii="Times New Roman" w:eastAsia="Calibri" w:hAnsi="Times New Roman" w:cs="Times New Roman"/>
                <w:sz w:val="20"/>
                <w:szCs w:val="20"/>
                <w:lang w:val="bg-BG"/>
              </w:rPr>
              <w:t xml:space="preserve">Функциите, с които предвиждаме да бъде ангажирана новосъзадената дирекция предлагаме да бъдат основно следните: контрол на физическите и юридическите лица във връзка с безопасността в частта </w:t>
            </w:r>
            <w:r w:rsidRPr="001F5B24">
              <w:rPr>
                <w:rFonts w:ascii="Times New Roman" w:eastAsia="Calibri" w:hAnsi="Times New Roman" w:cs="Times New Roman"/>
                <w:sz w:val="20"/>
                <w:szCs w:val="20"/>
              </w:rPr>
              <w:t>ATM/ANS</w:t>
            </w:r>
            <w:r w:rsidRPr="001F5B24">
              <w:rPr>
                <w:rFonts w:ascii="Times New Roman" w:eastAsia="Calibri" w:hAnsi="Times New Roman" w:cs="Times New Roman"/>
                <w:sz w:val="20"/>
                <w:szCs w:val="20"/>
                <w:lang w:val="bg-BG"/>
              </w:rPr>
              <w:t xml:space="preserve">; контрол на аеронавигационните съоръжения; публикуването на данни в Сборника за аеронавигационна информация и публикация на Република България;  осъществяване на координация между ведомствата </w:t>
            </w:r>
            <w:r w:rsidRPr="001F5B24">
              <w:rPr>
                <w:rFonts w:ascii="Times New Roman" w:eastAsia="Calibri" w:hAnsi="Times New Roman" w:cs="Times New Roman"/>
                <w:sz w:val="20"/>
                <w:szCs w:val="20"/>
              </w:rPr>
              <w:t>(</w:t>
            </w:r>
            <w:r w:rsidRPr="001F5B24">
              <w:rPr>
                <w:rFonts w:ascii="Times New Roman" w:eastAsia="Calibri" w:hAnsi="Times New Roman" w:cs="Times New Roman"/>
                <w:sz w:val="20"/>
                <w:szCs w:val="20"/>
                <w:lang w:val="bg-BG"/>
              </w:rPr>
              <w:t>в частност структури на МО, ВВС и др. от тази сфера</w:t>
            </w:r>
            <w:r w:rsidRPr="001F5B24">
              <w:rPr>
                <w:rFonts w:ascii="Times New Roman" w:eastAsia="Calibri" w:hAnsi="Times New Roman" w:cs="Times New Roman"/>
                <w:sz w:val="20"/>
                <w:szCs w:val="20"/>
              </w:rPr>
              <w:t>)</w:t>
            </w:r>
            <w:r w:rsidRPr="001F5B24">
              <w:rPr>
                <w:rFonts w:ascii="Times New Roman" w:eastAsia="Calibri" w:hAnsi="Times New Roman" w:cs="Times New Roman"/>
                <w:sz w:val="20"/>
                <w:szCs w:val="20"/>
                <w:lang w:val="bg-BG"/>
              </w:rPr>
              <w:t xml:space="preserve"> и юридическите лица в областта на гражданското въздухоплаване във връзка с безопасността на полетите – военно-гражданска координация; проверки за безопасна и ефективна работа на доставчика на аеронавигационно обслужване, предоставящи услуги в </w:t>
            </w:r>
            <w:r w:rsidRPr="001F5B24">
              <w:rPr>
                <w:rFonts w:ascii="Times New Roman" w:eastAsia="Calibri" w:hAnsi="Times New Roman" w:cs="Times New Roman"/>
                <w:sz w:val="20"/>
                <w:szCs w:val="20"/>
                <w:lang w:val="bg-BG"/>
              </w:rPr>
              <w:lastRenderedPageBreak/>
              <w:t>обслужваното въздушно пространство на Република България; проверки и подготвяне на становища до главния директор във връзка с издаване на свидетелство за извършване на аеронавигационно обслужване на кандидатите за доставчици на аеронавигационно обслужване за всеки тип аеронавигационни услуги; проверки на доставчика на аеронавигационно обслужване за съответствие с изискванията, при които е издадено свидетелството; изготвяне на становища до главния директор във връзка с признаването на свидетелства за извършване на аеронавигационно обслужване, издадени от чужди национални органи за контрол за осигуряване на аеронавигационно обслужване; изготвяне на мотивирано предложение за частично делегиране на функциите по осъществяване на проверки и контрол на доставчиците на аеронавигационно обслужване на чужди национални органи за контрол; изготвяне на годишни доклади за дейността на Главна дирекция "Гражданска въздухоплавателна администрация" като национален надзорен орган; участие в работни групи по изготвяне на проекти на нормативни актове във връзка с безопасната и ефективна работа на доставчиците на аеронавигационно обслужване; при денонощен режим на работа заедно с Изпълнителна агенция "Морска администрация" поддържане на сили и средства в съвместния авиационен и морски координационен център за търсене и спасяване при авиационни произшествия, като в случаите на авиационни произшествия ръководи и координира операции по търсене и спасяване на човешки живот и оказва помощ на търпящи бедствие въздухоплавателни средства във въздушното пространство на Република България и на нейната сухоземна територия, както и в българския морски отговорен район за търсене и спасяване при авиационни произшествия, и във вътрешните водни пътища на Република България.</w:t>
            </w:r>
          </w:p>
          <w:p w:rsidR="006C3E0E" w:rsidRDefault="001F5B24" w:rsidP="001F5B24">
            <w:pPr>
              <w:spacing w:after="120"/>
              <w:jc w:val="both"/>
              <w:rPr>
                <w:rFonts w:ascii="Times New Roman" w:eastAsia="Calibri" w:hAnsi="Times New Roman" w:cs="Times New Roman"/>
                <w:sz w:val="20"/>
                <w:szCs w:val="20"/>
                <w:lang w:val="bg-BG"/>
              </w:rPr>
            </w:pPr>
            <w:r w:rsidRPr="001F5B24">
              <w:rPr>
                <w:rFonts w:ascii="Times New Roman" w:eastAsia="Calibri" w:hAnsi="Times New Roman" w:cs="Times New Roman"/>
                <w:sz w:val="20"/>
                <w:szCs w:val="20"/>
                <w:lang w:val="bg-BG"/>
              </w:rPr>
              <w:t xml:space="preserve">Анализът и прилагането на значителния по обем регламентиращи документи от правото на ЕС, съставляващи </w:t>
            </w:r>
            <w:r w:rsidRPr="001F5B24">
              <w:rPr>
                <w:rFonts w:ascii="Times New Roman" w:eastAsia="Calibri" w:hAnsi="Times New Roman" w:cs="Times New Roman"/>
                <w:sz w:val="20"/>
                <w:szCs w:val="20"/>
              </w:rPr>
              <w:t xml:space="preserve">SES </w:t>
            </w:r>
            <w:r w:rsidRPr="001F5B24">
              <w:rPr>
                <w:rFonts w:ascii="Times New Roman" w:eastAsia="Calibri" w:hAnsi="Times New Roman" w:cs="Times New Roman"/>
                <w:sz w:val="20"/>
                <w:szCs w:val="20"/>
                <w:lang w:val="bg-BG"/>
              </w:rPr>
              <w:t xml:space="preserve">+ и </w:t>
            </w:r>
            <w:r w:rsidRPr="001F5B24">
              <w:rPr>
                <w:rFonts w:ascii="Times New Roman" w:eastAsia="Calibri" w:hAnsi="Times New Roman" w:cs="Times New Roman"/>
                <w:sz w:val="20"/>
                <w:szCs w:val="20"/>
              </w:rPr>
              <w:t>SES</w:t>
            </w:r>
            <w:r w:rsidRPr="001F5B24">
              <w:rPr>
                <w:rFonts w:ascii="Times New Roman" w:eastAsia="Calibri" w:hAnsi="Times New Roman" w:cs="Times New Roman"/>
                <w:sz w:val="20"/>
                <w:szCs w:val="20"/>
                <w:lang w:val="bg-BG"/>
              </w:rPr>
              <w:t xml:space="preserve"> 2+, е още един допълнителен и много съществен аргумент в подкрепа на направеното предложение за структурно обособяване на новата дирекция, тематично подчинена на АНО, търсене и спасяване при авиационни произшествия. </w:t>
            </w:r>
          </w:p>
          <w:p w:rsidR="006C3E0E" w:rsidRPr="006C3E0E" w:rsidRDefault="006C3E0E" w:rsidP="006C3E0E">
            <w:pPr>
              <w:jc w:val="both"/>
              <w:rPr>
                <w:rFonts w:ascii="Times New Roman" w:eastAsia="Calibri" w:hAnsi="Times New Roman" w:cs="Times New Roman"/>
                <w:sz w:val="20"/>
                <w:szCs w:val="20"/>
              </w:rPr>
            </w:pPr>
            <w:r>
              <w:rPr>
                <w:rFonts w:ascii="Times New Roman" w:eastAsia="Calibri" w:hAnsi="Times New Roman" w:cs="Times New Roman"/>
                <w:sz w:val="20"/>
                <w:szCs w:val="20"/>
                <w:lang w:val="bg-BG"/>
              </w:rPr>
              <w:t>Предвид горното, о</w:t>
            </w:r>
            <w:r w:rsidRPr="006C3E0E">
              <w:rPr>
                <w:rFonts w:ascii="Times New Roman" w:eastAsia="Calibri" w:hAnsi="Times New Roman" w:cs="Times New Roman"/>
                <w:sz w:val="20"/>
                <w:szCs w:val="20"/>
                <w:lang w:val="bg-BG"/>
              </w:rPr>
              <w:t>тносно коментара, че новата дирекция „Аеронавигационно обслужване, търсене и спасяване при авиационни произшествия“ не е развита в ясна вътрешна структура, считаме</w:t>
            </w:r>
            <w:r>
              <w:rPr>
                <w:rFonts w:ascii="Times New Roman" w:eastAsia="Calibri" w:hAnsi="Times New Roman" w:cs="Times New Roman"/>
                <w:sz w:val="20"/>
                <w:szCs w:val="20"/>
                <w:lang w:val="bg-BG"/>
              </w:rPr>
              <w:t>,</w:t>
            </w:r>
            <w:r w:rsidRPr="006C3E0E">
              <w:rPr>
                <w:rFonts w:ascii="Times New Roman" w:eastAsia="Calibri" w:hAnsi="Times New Roman" w:cs="Times New Roman"/>
                <w:sz w:val="20"/>
                <w:szCs w:val="20"/>
                <w:lang w:val="bg-BG"/>
              </w:rPr>
              <w:t xml:space="preserve"> че този коментар не е обоснован, защото предвижданите функции на тази дирекция са достатъчно ясно разписани и съответстват на актовете на европейското право, регламентиращи материята, а  и също така дават пълната картина за основните задачи, които следва да бъдат изпълнявани от тази нова </w:t>
            </w:r>
            <w:r w:rsidRPr="006C3E0E">
              <w:rPr>
                <w:rFonts w:ascii="Times New Roman" w:eastAsia="Calibri" w:hAnsi="Times New Roman" w:cs="Times New Roman"/>
                <w:sz w:val="20"/>
                <w:szCs w:val="20"/>
                <w:lang w:val="bg-BG"/>
              </w:rPr>
              <w:lastRenderedPageBreak/>
              <w:t>дирекция.</w:t>
            </w:r>
          </w:p>
          <w:p w:rsidR="001F5B24" w:rsidRPr="001F5B24" w:rsidRDefault="001F5B24" w:rsidP="001F5B24">
            <w:pPr>
              <w:spacing w:after="120"/>
              <w:jc w:val="both"/>
              <w:rPr>
                <w:rFonts w:ascii="Times New Roman" w:eastAsia="Calibri" w:hAnsi="Times New Roman" w:cs="Times New Roman"/>
                <w:sz w:val="20"/>
                <w:szCs w:val="20"/>
              </w:rPr>
            </w:pPr>
          </w:p>
          <w:p w:rsidR="008B74F9" w:rsidRDefault="008B74F9" w:rsidP="00F51DA1">
            <w:pPr>
              <w:jc w:val="center"/>
              <w:rPr>
                <w:rFonts w:ascii="Times New Roman" w:hAnsi="Times New Roman" w:cs="Times New Roman"/>
                <w:sz w:val="24"/>
                <w:szCs w:val="24"/>
                <w:lang w:val="bg-BG"/>
              </w:rPr>
            </w:pPr>
          </w:p>
        </w:tc>
      </w:tr>
      <w:tr w:rsidR="008B74F9" w:rsidTr="001F5B24">
        <w:tc>
          <w:tcPr>
            <w:tcW w:w="1694" w:type="dxa"/>
          </w:tcPr>
          <w:p w:rsidR="008B74F9" w:rsidRDefault="006824AA" w:rsidP="00F51DA1">
            <w:pPr>
              <w:jc w:val="center"/>
              <w:rPr>
                <w:rFonts w:ascii="Times New Roman" w:hAnsi="Times New Roman" w:cs="Times New Roman"/>
                <w:sz w:val="24"/>
                <w:szCs w:val="24"/>
                <w:lang w:val="bg-BG"/>
              </w:rPr>
            </w:pPr>
            <w:r>
              <w:rPr>
                <w:rFonts w:ascii="Times New Roman" w:hAnsi="Times New Roman" w:cs="Times New Roman"/>
                <w:sz w:val="24"/>
                <w:szCs w:val="24"/>
                <w:lang w:val="bg-BG"/>
              </w:rPr>
              <w:lastRenderedPageBreak/>
              <w:t>10.</w:t>
            </w:r>
            <w:r w:rsidR="00774019">
              <w:rPr>
                <w:rFonts w:ascii="Times New Roman" w:hAnsi="Times New Roman" w:cs="Times New Roman"/>
                <w:sz w:val="24"/>
                <w:szCs w:val="24"/>
                <w:lang w:val="bg-BG"/>
              </w:rPr>
              <w:t>Асоциация на българските авиокомпании</w:t>
            </w:r>
          </w:p>
        </w:tc>
        <w:tc>
          <w:tcPr>
            <w:tcW w:w="3517" w:type="dxa"/>
          </w:tcPr>
          <w:p w:rsidR="008B74F9" w:rsidRPr="004D5326" w:rsidRDefault="004D5326" w:rsidP="00223386">
            <w:pPr>
              <w:jc w:val="both"/>
              <w:rPr>
                <w:rFonts w:ascii="Times New Roman" w:hAnsi="Times New Roman" w:cs="Times New Roman"/>
                <w:sz w:val="20"/>
                <w:szCs w:val="20"/>
                <w:lang w:val="bg-BG"/>
              </w:rPr>
            </w:pPr>
            <w:r w:rsidRPr="004D5326">
              <w:rPr>
                <w:rFonts w:ascii="Times New Roman" w:hAnsi="Times New Roman" w:cs="Times New Roman"/>
                <w:sz w:val="20"/>
                <w:szCs w:val="20"/>
              </w:rPr>
              <w:t xml:space="preserve">Създаването на мега-дирекция „Авиационна безопасност“, чрез включването в нея “ Летища и лицензиране на летищни оператори“ води след себе си въпроси за административния капацитет и координация в подобна дирекция, състояща се от несъмнено свързани, но специфични дейности. Възможността ръководителите на подобна дирекция да управляват адекватно такъв голям набор от дейности с необходимата компетентност е под въпрос. Като пример може да се посочи поредицата провалени конкурси за заемане на длъжността Директор на Дирекция „Авиационна безопасност“, дори при сегашния обхват от дейности на дирекцията. Това създава у индустрията съмнения относно компетентността на служителите на ГД „ГВА“ и адекватното управление на процесите, познаването и прилагането на процедурите в съответното направление и, в крайна сметка, в качественото и навременно обслужване на гражданите и бизнеса. С оглед да се разпредели равномерно натовареността между двете специализирани дирекции, логично е дейностите свързани с летищата да се разположат в Дирекция аеронавигацинно обслужване, търсене и спасяване при авиационни произшествия“ Още повече, че тези три дейности имат функционална и </w:t>
            </w:r>
            <w:r w:rsidRPr="004D5326">
              <w:rPr>
                <w:rFonts w:ascii="Times New Roman" w:hAnsi="Times New Roman" w:cs="Times New Roman"/>
                <w:sz w:val="20"/>
                <w:szCs w:val="20"/>
              </w:rPr>
              <w:lastRenderedPageBreak/>
              <w:t>логическа връзка</w:t>
            </w:r>
          </w:p>
        </w:tc>
        <w:tc>
          <w:tcPr>
            <w:tcW w:w="1462" w:type="dxa"/>
          </w:tcPr>
          <w:p w:rsidR="008B74F9" w:rsidRDefault="00774019" w:rsidP="00F51DA1">
            <w:pPr>
              <w:jc w:val="center"/>
              <w:rPr>
                <w:rFonts w:ascii="Times New Roman" w:hAnsi="Times New Roman" w:cs="Times New Roman"/>
                <w:sz w:val="24"/>
                <w:szCs w:val="24"/>
                <w:lang w:val="bg-BG"/>
              </w:rPr>
            </w:pPr>
            <w:r>
              <w:rPr>
                <w:rFonts w:ascii="Times New Roman" w:hAnsi="Times New Roman" w:cs="Times New Roman"/>
                <w:sz w:val="24"/>
                <w:szCs w:val="24"/>
                <w:lang w:val="bg-BG"/>
              </w:rPr>
              <w:lastRenderedPageBreak/>
              <w:t>Не се приема</w:t>
            </w:r>
          </w:p>
        </w:tc>
        <w:tc>
          <w:tcPr>
            <w:tcW w:w="6760" w:type="dxa"/>
          </w:tcPr>
          <w:p w:rsidR="004D5326" w:rsidRPr="004D5326" w:rsidRDefault="004D5326" w:rsidP="004D5326">
            <w:pPr>
              <w:spacing w:after="120"/>
              <w:jc w:val="both"/>
              <w:rPr>
                <w:rFonts w:ascii="Times New Roman" w:eastAsia="Calibri" w:hAnsi="Times New Roman" w:cs="Times New Roman"/>
                <w:sz w:val="20"/>
                <w:szCs w:val="20"/>
                <w:lang w:val="bg-BG"/>
              </w:rPr>
            </w:pPr>
            <w:r w:rsidRPr="004D5326">
              <w:rPr>
                <w:rFonts w:ascii="Times New Roman" w:eastAsia="Calibri" w:hAnsi="Times New Roman" w:cs="Times New Roman"/>
                <w:sz w:val="20"/>
                <w:szCs w:val="20"/>
                <w:lang w:val="bg-BG"/>
              </w:rPr>
              <w:t xml:space="preserve">По отношение съжденията, отнасящи се до създаването на „мега-дирекция „Авиационна безопасност“, ГД ГВА не споделя тези съображения, тъй като става дума за създаване на дирекция с три отдела. Подобна структура не би могло да се определи като „мега-дирекция“. Съображенията и доводите на авторите на проекта относно поставянето на отдел „Летища и лицензиране на летищните оператори“ в тази дирекция са подробно изложени в посочения по-горе доклад към проекта. Заимстването на добрия опит и практики от отдели – летателен и летателна годност, на които са извършвани достатъчно много одити от </w:t>
            </w:r>
            <w:r w:rsidRPr="004D5326">
              <w:rPr>
                <w:rFonts w:ascii="Times New Roman" w:eastAsia="Calibri" w:hAnsi="Times New Roman" w:cs="Times New Roman"/>
                <w:sz w:val="20"/>
                <w:szCs w:val="20"/>
              </w:rPr>
              <w:t>EASA</w:t>
            </w:r>
            <w:r w:rsidRPr="004D5326">
              <w:rPr>
                <w:rFonts w:ascii="Times New Roman" w:eastAsia="Calibri" w:hAnsi="Times New Roman" w:cs="Times New Roman"/>
                <w:sz w:val="20"/>
                <w:szCs w:val="20"/>
                <w:lang w:val="bg-BG"/>
              </w:rPr>
              <w:t xml:space="preserve"> според ГД ГВА е добра възможност за бъдещото функциониране  на отдел </w:t>
            </w:r>
            <w:r w:rsidR="006C3E0E">
              <w:rPr>
                <w:rFonts w:ascii="Times New Roman" w:eastAsia="Calibri" w:hAnsi="Times New Roman" w:cs="Times New Roman"/>
                <w:sz w:val="20"/>
                <w:szCs w:val="20"/>
                <w:lang w:val="bg-BG"/>
              </w:rPr>
              <w:t>„Л</w:t>
            </w:r>
            <w:r w:rsidRPr="004D5326">
              <w:rPr>
                <w:rFonts w:ascii="Times New Roman" w:eastAsia="Calibri" w:hAnsi="Times New Roman" w:cs="Times New Roman"/>
                <w:sz w:val="20"/>
                <w:szCs w:val="20"/>
                <w:lang w:val="bg-BG"/>
              </w:rPr>
              <w:t>етища</w:t>
            </w:r>
            <w:r w:rsidR="006C3E0E">
              <w:rPr>
                <w:rFonts w:ascii="Times New Roman" w:eastAsia="Calibri" w:hAnsi="Times New Roman" w:cs="Times New Roman"/>
                <w:sz w:val="20"/>
                <w:szCs w:val="20"/>
                <w:lang w:val="bg-BG"/>
              </w:rPr>
              <w:t xml:space="preserve"> и ЛЛО“</w:t>
            </w:r>
            <w:r w:rsidRPr="004D5326">
              <w:rPr>
                <w:rFonts w:ascii="Times New Roman" w:eastAsia="Calibri" w:hAnsi="Times New Roman" w:cs="Times New Roman"/>
                <w:sz w:val="20"/>
                <w:szCs w:val="20"/>
                <w:lang w:val="bg-BG"/>
              </w:rPr>
              <w:t xml:space="preserve">. </w:t>
            </w:r>
          </w:p>
          <w:p w:rsidR="008B74F9" w:rsidRDefault="008B74F9" w:rsidP="00F51DA1">
            <w:pPr>
              <w:jc w:val="center"/>
              <w:rPr>
                <w:rFonts w:ascii="Times New Roman" w:hAnsi="Times New Roman" w:cs="Times New Roman"/>
                <w:sz w:val="24"/>
                <w:szCs w:val="24"/>
                <w:lang w:val="bg-BG"/>
              </w:rPr>
            </w:pPr>
          </w:p>
        </w:tc>
      </w:tr>
      <w:tr w:rsidR="008B74F9" w:rsidTr="001F5B24">
        <w:tc>
          <w:tcPr>
            <w:tcW w:w="1694" w:type="dxa"/>
          </w:tcPr>
          <w:p w:rsidR="008B74F9" w:rsidRDefault="006824AA" w:rsidP="00F51DA1">
            <w:pPr>
              <w:jc w:val="center"/>
              <w:rPr>
                <w:rFonts w:ascii="Times New Roman" w:hAnsi="Times New Roman" w:cs="Times New Roman"/>
                <w:sz w:val="24"/>
                <w:szCs w:val="24"/>
                <w:lang w:val="bg-BG"/>
              </w:rPr>
            </w:pPr>
            <w:r>
              <w:rPr>
                <w:rFonts w:ascii="Times New Roman" w:hAnsi="Times New Roman" w:cs="Times New Roman"/>
                <w:sz w:val="24"/>
                <w:szCs w:val="24"/>
                <w:lang w:val="bg-BG"/>
              </w:rPr>
              <w:lastRenderedPageBreak/>
              <w:t>11.</w:t>
            </w:r>
            <w:r w:rsidR="00774019">
              <w:rPr>
                <w:rFonts w:ascii="Times New Roman" w:hAnsi="Times New Roman" w:cs="Times New Roman"/>
                <w:sz w:val="24"/>
                <w:szCs w:val="24"/>
                <w:lang w:val="bg-BG"/>
              </w:rPr>
              <w:t>Асоциация на българските авиокомпании</w:t>
            </w:r>
          </w:p>
        </w:tc>
        <w:tc>
          <w:tcPr>
            <w:tcW w:w="3517" w:type="dxa"/>
          </w:tcPr>
          <w:p w:rsidR="004D5326" w:rsidRPr="004D5326" w:rsidRDefault="004D5326" w:rsidP="004D5326">
            <w:pPr>
              <w:shd w:val="clear" w:color="auto" w:fill="FFFFFF"/>
              <w:jc w:val="both"/>
              <w:rPr>
                <w:rFonts w:ascii="Times New Roman" w:hAnsi="Times New Roman" w:cs="Times New Roman"/>
                <w:sz w:val="20"/>
                <w:szCs w:val="20"/>
              </w:rPr>
            </w:pPr>
            <w:r w:rsidRPr="004D5326">
              <w:rPr>
                <w:rFonts w:ascii="Times New Roman" w:hAnsi="Times New Roman" w:cs="Times New Roman"/>
                <w:sz w:val="20"/>
                <w:szCs w:val="20"/>
              </w:rPr>
              <w:t>Обединяването на отделите по лицензиране персонала с този на летателна експлоатация е в противоречие с препоръките на ICAO Doc. 9734.</w:t>
            </w:r>
          </w:p>
          <w:p w:rsidR="004D5326" w:rsidRPr="004D5326" w:rsidRDefault="004D5326" w:rsidP="004D5326">
            <w:pPr>
              <w:shd w:val="clear" w:color="auto" w:fill="FFFFFF"/>
              <w:jc w:val="both"/>
              <w:rPr>
                <w:rFonts w:ascii="Tahoma" w:hAnsi="Tahoma" w:cs="Tahoma"/>
                <w:sz w:val="21"/>
                <w:szCs w:val="21"/>
              </w:rPr>
            </w:pPr>
            <w:r w:rsidRPr="004D5326">
              <w:rPr>
                <w:rFonts w:ascii="Tahoma" w:hAnsi="Tahoma" w:cs="Tahoma"/>
                <w:sz w:val="21"/>
                <w:szCs w:val="21"/>
              </w:rPr>
              <w:t> </w:t>
            </w:r>
          </w:p>
          <w:p w:rsidR="008B74F9" w:rsidRPr="00223386" w:rsidRDefault="008B74F9" w:rsidP="00223386">
            <w:pPr>
              <w:jc w:val="both"/>
              <w:rPr>
                <w:rFonts w:ascii="Times New Roman" w:hAnsi="Times New Roman" w:cs="Times New Roman"/>
                <w:sz w:val="20"/>
                <w:szCs w:val="20"/>
                <w:lang w:val="bg-BG"/>
              </w:rPr>
            </w:pPr>
          </w:p>
        </w:tc>
        <w:tc>
          <w:tcPr>
            <w:tcW w:w="1462" w:type="dxa"/>
          </w:tcPr>
          <w:p w:rsidR="008B74F9" w:rsidRDefault="00774019" w:rsidP="00F51DA1">
            <w:pPr>
              <w:jc w:val="center"/>
              <w:rPr>
                <w:rFonts w:ascii="Times New Roman" w:hAnsi="Times New Roman" w:cs="Times New Roman"/>
                <w:sz w:val="24"/>
                <w:szCs w:val="24"/>
                <w:lang w:val="bg-BG"/>
              </w:rPr>
            </w:pPr>
            <w:r>
              <w:rPr>
                <w:rFonts w:ascii="Times New Roman" w:hAnsi="Times New Roman" w:cs="Times New Roman"/>
                <w:sz w:val="24"/>
                <w:szCs w:val="24"/>
                <w:lang w:val="bg-BG"/>
              </w:rPr>
              <w:t>Не се приема</w:t>
            </w:r>
          </w:p>
        </w:tc>
        <w:tc>
          <w:tcPr>
            <w:tcW w:w="6760" w:type="dxa"/>
          </w:tcPr>
          <w:p w:rsidR="008B74F9" w:rsidRDefault="004832A9" w:rsidP="004832A9">
            <w:pPr>
              <w:jc w:val="both"/>
              <w:rPr>
                <w:rFonts w:ascii="Times New Roman" w:hAnsi="Times New Roman" w:cs="Times New Roman"/>
                <w:sz w:val="24"/>
                <w:szCs w:val="24"/>
                <w:lang w:val="bg-BG"/>
              </w:rPr>
            </w:pPr>
            <w:r w:rsidRPr="004832A9">
              <w:rPr>
                <w:rFonts w:ascii="Times New Roman" w:hAnsi="Times New Roman" w:cs="Times New Roman"/>
                <w:sz w:val="20"/>
                <w:szCs w:val="20"/>
                <w:lang w:val="bg-BG"/>
              </w:rPr>
              <w:t>В тази връзка моля вж.</w:t>
            </w:r>
            <w:r w:rsidRPr="004832A9">
              <w:rPr>
                <w:rFonts w:ascii="Times New Roman" w:hAnsi="Times New Roman" w:cs="Times New Roman"/>
                <w:sz w:val="28"/>
                <w:szCs w:val="24"/>
                <w:lang w:val="bg-BG"/>
              </w:rPr>
              <w:t xml:space="preserve"> </w:t>
            </w:r>
            <w:proofErr w:type="gramStart"/>
            <w:r w:rsidRPr="00223386">
              <w:rPr>
                <w:rFonts w:ascii="Times New Roman" w:hAnsi="Times New Roman" w:cs="Times New Roman"/>
                <w:sz w:val="20"/>
                <w:szCs w:val="20"/>
              </w:rPr>
              <w:t>т.3.4.2</w:t>
            </w:r>
            <w:proofErr w:type="gramEnd"/>
            <w:r w:rsidRPr="00223386">
              <w:rPr>
                <w:rFonts w:ascii="Times New Roman" w:hAnsi="Times New Roman" w:cs="Times New Roman"/>
                <w:sz w:val="20"/>
                <w:szCs w:val="20"/>
              </w:rPr>
              <w:t xml:space="preserve"> от цитирания документ, и по-конкретно на изготвената от посочената международна организация примерна органограма относно критичните елементи от Системата по надзора за безопасността</w:t>
            </w:r>
            <w:r>
              <w:rPr>
                <w:rFonts w:ascii="Times New Roman" w:hAnsi="Times New Roman" w:cs="Times New Roman"/>
                <w:sz w:val="20"/>
                <w:szCs w:val="20"/>
                <w:lang w:val="bg-BG"/>
              </w:rPr>
              <w:t>, където се съдържат основните направления на дейност по повод обезпечаването на надзора по безопасността.</w:t>
            </w:r>
            <w:r w:rsidR="006C3E0E">
              <w:rPr>
                <w:rFonts w:ascii="Times New Roman" w:hAnsi="Times New Roman" w:cs="Times New Roman"/>
                <w:sz w:val="20"/>
                <w:szCs w:val="20"/>
                <w:lang w:val="bg-BG"/>
              </w:rPr>
              <w:t xml:space="preserve"> </w:t>
            </w:r>
            <w:r>
              <w:rPr>
                <w:rFonts w:ascii="Times New Roman" w:hAnsi="Times New Roman" w:cs="Times New Roman"/>
                <w:sz w:val="20"/>
                <w:szCs w:val="20"/>
                <w:lang w:val="bg-BG"/>
              </w:rPr>
              <w:t xml:space="preserve">Видно от цитираната органограма, </w:t>
            </w:r>
            <w:r>
              <w:rPr>
                <w:rFonts w:ascii="Times New Roman" w:hAnsi="Times New Roman" w:cs="Times New Roman"/>
                <w:sz w:val="20"/>
                <w:szCs w:val="20"/>
                <w:lang w:val="bg-BG"/>
              </w:rPr>
              <w:t>и съпътстващите я указания</w:t>
            </w:r>
            <w:r>
              <w:rPr>
                <w:rFonts w:ascii="Times New Roman" w:hAnsi="Times New Roman" w:cs="Times New Roman"/>
                <w:sz w:val="20"/>
                <w:szCs w:val="20"/>
                <w:lang w:val="bg-BG"/>
              </w:rPr>
              <w:t xml:space="preserve"> в цитираната част от документа, такова противоречие не се наблюдава.</w:t>
            </w:r>
          </w:p>
        </w:tc>
      </w:tr>
      <w:tr w:rsidR="008B74F9" w:rsidTr="001F5B24">
        <w:tc>
          <w:tcPr>
            <w:tcW w:w="1694" w:type="dxa"/>
          </w:tcPr>
          <w:p w:rsidR="008B74F9" w:rsidRDefault="006824AA" w:rsidP="00F51DA1">
            <w:pPr>
              <w:jc w:val="center"/>
              <w:rPr>
                <w:rFonts w:ascii="Times New Roman" w:hAnsi="Times New Roman" w:cs="Times New Roman"/>
                <w:sz w:val="24"/>
                <w:szCs w:val="24"/>
                <w:lang w:val="bg-BG"/>
              </w:rPr>
            </w:pPr>
            <w:r>
              <w:rPr>
                <w:rFonts w:ascii="Times New Roman" w:hAnsi="Times New Roman" w:cs="Times New Roman"/>
                <w:sz w:val="24"/>
                <w:szCs w:val="24"/>
                <w:lang w:val="bg-BG"/>
              </w:rPr>
              <w:t>12.</w:t>
            </w:r>
            <w:r w:rsidR="00774019">
              <w:rPr>
                <w:rFonts w:ascii="Times New Roman" w:hAnsi="Times New Roman" w:cs="Times New Roman"/>
                <w:sz w:val="24"/>
                <w:szCs w:val="24"/>
                <w:lang w:val="bg-BG"/>
              </w:rPr>
              <w:t>Асоциация на българските авиокомпании</w:t>
            </w:r>
          </w:p>
        </w:tc>
        <w:tc>
          <w:tcPr>
            <w:tcW w:w="3517" w:type="dxa"/>
          </w:tcPr>
          <w:p w:rsidR="008B74F9" w:rsidRPr="004832A9" w:rsidRDefault="004832A9" w:rsidP="00223386">
            <w:pPr>
              <w:jc w:val="both"/>
              <w:rPr>
                <w:rFonts w:ascii="Times New Roman" w:hAnsi="Times New Roman" w:cs="Times New Roman"/>
                <w:sz w:val="20"/>
                <w:szCs w:val="20"/>
                <w:lang w:val="bg-BG"/>
              </w:rPr>
            </w:pPr>
            <w:r w:rsidRPr="004832A9">
              <w:rPr>
                <w:rFonts w:ascii="Times New Roman" w:hAnsi="Times New Roman" w:cs="Times New Roman"/>
                <w:sz w:val="20"/>
                <w:szCs w:val="20"/>
              </w:rPr>
              <w:t>От 1999 година до момента сега действащата устройствена структура, с малки несъществени промени в различните години, многократно е била обект на одити от ICAO, ECAC, Eurocontrol , EC и EASA и е оценена като адекватна. Забележките и недостатъците от одитите, там където ги има, са насочени към подобряване на административния капацитет и повишаване на квалификацията, свързана с компетентността на персонала на ГД „ГВА“ по отношение на прилагането на стандартите и добрите практики за авиационна безопасност, сигурност, екологичност и ефективност на гражданското въздухоплаване. В никой от одитите не е повдигнат въпроса за структурата на администрацията, особено в частта, незасягаща специализираните дейности по надзор на безопасността</w:t>
            </w:r>
          </w:p>
        </w:tc>
        <w:tc>
          <w:tcPr>
            <w:tcW w:w="1462" w:type="dxa"/>
          </w:tcPr>
          <w:p w:rsidR="008B74F9" w:rsidRDefault="00774019" w:rsidP="00F51DA1">
            <w:pPr>
              <w:jc w:val="center"/>
              <w:rPr>
                <w:rFonts w:ascii="Times New Roman" w:hAnsi="Times New Roman" w:cs="Times New Roman"/>
                <w:sz w:val="24"/>
                <w:szCs w:val="24"/>
                <w:lang w:val="bg-BG"/>
              </w:rPr>
            </w:pPr>
            <w:r>
              <w:rPr>
                <w:rFonts w:ascii="Times New Roman" w:hAnsi="Times New Roman" w:cs="Times New Roman"/>
                <w:sz w:val="24"/>
                <w:szCs w:val="24"/>
                <w:lang w:val="bg-BG"/>
              </w:rPr>
              <w:t>Не се приема</w:t>
            </w:r>
          </w:p>
        </w:tc>
        <w:tc>
          <w:tcPr>
            <w:tcW w:w="6760" w:type="dxa"/>
          </w:tcPr>
          <w:p w:rsidR="004832A9" w:rsidRPr="004832A9" w:rsidRDefault="004832A9" w:rsidP="006C3E0E">
            <w:pPr>
              <w:keepNext/>
              <w:spacing w:before="240" w:after="60"/>
              <w:jc w:val="both"/>
              <w:outlineLvl w:val="2"/>
              <w:rPr>
                <w:rFonts w:ascii="Times New Roman" w:eastAsia="Times New Roman" w:hAnsi="Times New Roman" w:cs="Times New Roman"/>
                <w:bCs/>
                <w:sz w:val="20"/>
                <w:szCs w:val="20"/>
                <w:lang w:val="bg-BG"/>
              </w:rPr>
            </w:pPr>
            <w:r>
              <w:rPr>
                <w:rFonts w:ascii="Times New Roman" w:eastAsia="Times New Roman" w:hAnsi="Times New Roman" w:cs="Times New Roman"/>
                <w:bCs/>
                <w:sz w:val="20"/>
                <w:szCs w:val="20"/>
                <w:lang w:val="bg-BG"/>
              </w:rPr>
              <w:t>Т</w:t>
            </w:r>
            <w:r w:rsidRPr="004832A9">
              <w:rPr>
                <w:rFonts w:ascii="Times New Roman" w:eastAsia="Times New Roman" w:hAnsi="Times New Roman" w:cs="Times New Roman"/>
                <w:bCs/>
                <w:sz w:val="20"/>
                <w:szCs w:val="20"/>
                <w:lang w:val="bg-BG"/>
              </w:rPr>
              <w:t>върдението „от 1999 година до момента сега действащата устройствена структура, с малки несъществени промени в различните години“ не отговаря на истината, тъй като най-напред през 1999 г. и впоследствие структурата на ГД ГВА не е била обособена в дирекции. През 2000г. са създадени две дирекции, условно наречени „Обща“ и „Специализирана“ администрация. В специализираната администрация са попадали всички направления, като „Летателна експлоатация“, „Летателна годност“, „Летища“, „Управление на въздушното движение““, „Сигурност“ и т.н. През 2004 г. е установена структура с четири дирекции, която е променена на такава с три дирекции и в този й вид е до момента. В тази връзка следва да се отчета, че става дума за промени, които не са били несъществени, а тъкмо напротив – твърде съществени. Това е така, защото устройствената структура на администрацията е била създавана да отговори на конкретни обществени очаквания в даден момент от развитието на институционалния контрол над гражданското въздухоплаване, тя е била съобразявана с конкретни управленски приоритети, с новонастъпили изменения в националната нормативна уредба не само в областта на гражданското въздухоплаване, но и в други специализирани отрасли на националното административно право и на международното гражданско въздушно право и свързани с него уредби.</w:t>
            </w:r>
          </w:p>
          <w:p w:rsidR="008B74F9" w:rsidRDefault="008B74F9" w:rsidP="00F51DA1">
            <w:pPr>
              <w:jc w:val="center"/>
              <w:rPr>
                <w:rFonts w:ascii="Times New Roman" w:hAnsi="Times New Roman" w:cs="Times New Roman"/>
                <w:sz w:val="24"/>
                <w:szCs w:val="24"/>
                <w:lang w:val="bg-BG"/>
              </w:rPr>
            </w:pPr>
          </w:p>
        </w:tc>
      </w:tr>
      <w:tr w:rsidR="008B74F9" w:rsidTr="001F5B24">
        <w:tc>
          <w:tcPr>
            <w:tcW w:w="1694" w:type="dxa"/>
          </w:tcPr>
          <w:p w:rsidR="008B74F9" w:rsidRDefault="006824AA" w:rsidP="00F51DA1">
            <w:pPr>
              <w:jc w:val="center"/>
              <w:rPr>
                <w:rFonts w:ascii="Times New Roman" w:hAnsi="Times New Roman" w:cs="Times New Roman"/>
                <w:sz w:val="24"/>
                <w:szCs w:val="24"/>
                <w:lang w:val="bg-BG"/>
              </w:rPr>
            </w:pPr>
            <w:r>
              <w:rPr>
                <w:rFonts w:ascii="Times New Roman" w:hAnsi="Times New Roman" w:cs="Times New Roman"/>
                <w:sz w:val="24"/>
                <w:szCs w:val="24"/>
                <w:lang w:val="bg-BG"/>
              </w:rPr>
              <w:t>13.</w:t>
            </w:r>
            <w:r w:rsidR="00774019">
              <w:rPr>
                <w:rFonts w:ascii="Times New Roman" w:hAnsi="Times New Roman" w:cs="Times New Roman"/>
                <w:sz w:val="24"/>
                <w:szCs w:val="24"/>
                <w:lang w:val="bg-BG"/>
              </w:rPr>
              <w:t>Асоциация на българските авиокомпании</w:t>
            </w:r>
          </w:p>
        </w:tc>
        <w:tc>
          <w:tcPr>
            <w:tcW w:w="3517" w:type="dxa"/>
          </w:tcPr>
          <w:p w:rsidR="004832A9" w:rsidRPr="004832A9" w:rsidRDefault="004832A9" w:rsidP="004832A9">
            <w:pPr>
              <w:shd w:val="clear" w:color="auto" w:fill="FFFFFF"/>
              <w:jc w:val="both"/>
              <w:rPr>
                <w:rFonts w:ascii="Times New Roman" w:hAnsi="Times New Roman" w:cs="Times New Roman"/>
                <w:sz w:val="20"/>
                <w:szCs w:val="20"/>
              </w:rPr>
            </w:pPr>
            <w:r w:rsidRPr="004832A9">
              <w:rPr>
                <w:rFonts w:ascii="Times New Roman" w:hAnsi="Times New Roman" w:cs="Times New Roman"/>
                <w:sz w:val="20"/>
                <w:szCs w:val="20"/>
              </w:rPr>
              <w:t xml:space="preserve">В предложението за промяна на Устройственият правилник няма анализ по отношение на оптимизирането както във финансовата част и човешките ресурси, така и по отношение на цялостната дейност. Сегашните три дирекции се преобразуват в четири, при запазване на същия обхват и обем на дейност с изключение на </w:t>
            </w:r>
            <w:r w:rsidRPr="004832A9">
              <w:rPr>
                <w:rFonts w:ascii="Times New Roman" w:hAnsi="Times New Roman" w:cs="Times New Roman"/>
                <w:sz w:val="20"/>
                <w:szCs w:val="20"/>
              </w:rPr>
              <w:lastRenderedPageBreak/>
              <w:t>дейностите по търсене и спасяване. Това ще създаде още по-тежка административна структура, с допълнителни мениджърски позиции в съответните направления. От своя страна това най-вероятно ще доведе до увеличаване на времето за административно обслужване. Тези фактори не са взети предвид в предложенията, тъй като няма изготвен анализ на риска относно влиянието върху авиационния сектор като цяло.</w:t>
            </w:r>
          </w:p>
          <w:p w:rsidR="008B74F9" w:rsidRPr="00223386" w:rsidRDefault="008B74F9" w:rsidP="00223386">
            <w:pPr>
              <w:jc w:val="both"/>
              <w:rPr>
                <w:rFonts w:ascii="Times New Roman" w:hAnsi="Times New Roman" w:cs="Times New Roman"/>
                <w:sz w:val="20"/>
                <w:szCs w:val="20"/>
                <w:lang w:val="bg-BG"/>
              </w:rPr>
            </w:pPr>
          </w:p>
        </w:tc>
        <w:tc>
          <w:tcPr>
            <w:tcW w:w="1462" w:type="dxa"/>
          </w:tcPr>
          <w:p w:rsidR="008B74F9" w:rsidRDefault="00774019" w:rsidP="00F51DA1">
            <w:pPr>
              <w:jc w:val="center"/>
              <w:rPr>
                <w:rFonts w:ascii="Times New Roman" w:hAnsi="Times New Roman" w:cs="Times New Roman"/>
                <w:sz w:val="24"/>
                <w:szCs w:val="24"/>
                <w:lang w:val="bg-BG"/>
              </w:rPr>
            </w:pPr>
            <w:r>
              <w:rPr>
                <w:rFonts w:ascii="Times New Roman" w:hAnsi="Times New Roman" w:cs="Times New Roman"/>
                <w:sz w:val="24"/>
                <w:szCs w:val="24"/>
                <w:lang w:val="bg-BG"/>
              </w:rPr>
              <w:lastRenderedPageBreak/>
              <w:t>Не се приема</w:t>
            </w:r>
          </w:p>
        </w:tc>
        <w:tc>
          <w:tcPr>
            <w:tcW w:w="6760" w:type="dxa"/>
          </w:tcPr>
          <w:p w:rsidR="008B74F9" w:rsidRDefault="006072FA" w:rsidP="006072FA">
            <w:pPr>
              <w:jc w:val="both"/>
              <w:rPr>
                <w:rFonts w:ascii="Times New Roman" w:hAnsi="Times New Roman" w:cs="Times New Roman"/>
                <w:sz w:val="24"/>
                <w:szCs w:val="24"/>
                <w:lang w:val="bg-BG"/>
              </w:rPr>
            </w:pPr>
            <w:r w:rsidRPr="006072FA">
              <w:rPr>
                <w:rFonts w:ascii="Times New Roman" w:hAnsi="Times New Roman"/>
                <w:sz w:val="20"/>
                <w:szCs w:val="20"/>
              </w:rPr>
              <w:t>По наше мнение са отчетени актуалните необходимости от осъвременяване на структурата, както и по-доброто функциониране и оптимизиране на наличните човешки и финансови ресурси. Както е посочено в заключението на доклада, съдържащ мотивите на предложения от ГД ГВА проект на правилник за изменение и допълнение на УП на ГД ГВА, целта на настоящото предложение са подобряване на административното управление и укрепване на бюджетната дисциплина. Посочените цели са неотменим приоритет за институцията ГД ГВА, особено в светлината на опита й от последната бюджетна и календарна година</w:t>
            </w:r>
            <w:r w:rsidRPr="00B4309E">
              <w:rPr>
                <w:rFonts w:ascii="Times New Roman" w:hAnsi="Times New Roman"/>
                <w:b/>
                <w:sz w:val="24"/>
                <w:szCs w:val="24"/>
              </w:rPr>
              <w:t>.</w:t>
            </w:r>
          </w:p>
        </w:tc>
      </w:tr>
    </w:tbl>
    <w:p w:rsidR="00F51DA1" w:rsidRPr="00F51DA1" w:rsidRDefault="00F51DA1" w:rsidP="00F51DA1">
      <w:pPr>
        <w:jc w:val="center"/>
        <w:rPr>
          <w:rFonts w:ascii="Times New Roman" w:hAnsi="Times New Roman" w:cs="Times New Roman"/>
          <w:sz w:val="24"/>
          <w:szCs w:val="24"/>
          <w:lang w:val="bg-BG"/>
        </w:rPr>
      </w:pPr>
    </w:p>
    <w:sectPr w:rsidR="00F51DA1" w:rsidRPr="00F51DA1" w:rsidSect="001F5B24">
      <w:pgSz w:w="15840" w:h="1224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B00A9"/>
    <w:multiLevelType w:val="hybridMultilevel"/>
    <w:tmpl w:val="424E3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2E"/>
    <w:rsid w:val="000212C4"/>
    <w:rsid w:val="0003602E"/>
    <w:rsid w:val="001F5B24"/>
    <w:rsid w:val="002171EF"/>
    <w:rsid w:val="00223386"/>
    <w:rsid w:val="004738EF"/>
    <w:rsid w:val="004832A9"/>
    <w:rsid w:val="004D5326"/>
    <w:rsid w:val="004D5E13"/>
    <w:rsid w:val="00551A00"/>
    <w:rsid w:val="006072FA"/>
    <w:rsid w:val="006824AA"/>
    <w:rsid w:val="006C3E0E"/>
    <w:rsid w:val="00774019"/>
    <w:rsid w:val="008B74F9"/>
    <w:rsid w:val="00912C28"/>
    <w:rsid w:val="0096302F"/>
    <w:rsid w:val="009F2C60"/>
    <w:rsid w:val="00B152CF"/>
    <w:rsid w:val="00B70F7F"/>
    <w:rsid w:val="00C16292"/>
    <w:rsid w:val="00F13768"/>
    <w:rsid w:val="00F5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CharCharChar">
    <w:name w:val=" Char Char3 Char Char Char"/>
    <w:basedOn w:val="Normal"/>
    <w:rsid w:val="00223386"/>
    <w:pPr>
      <w:spacing w:after="160" w:line="240" w:lineRule="exact"/>
    </w:pPr>
    <w:rPr>
      <w:rFonts w:ascii="Tahoma" w:eastAsia="Times New Roman" w:hAnsi="Tahoma" w:cs="Times New Roman"/>
      <w:sz w:val="20"/>
      <w:szCs w:val="20"/>
    </w:rPr>
  </w:style>
  <w:style w:type="paragraph" w:styleId="ListParagraph">
    <w:name w:val="List Paragraph"/>
    <w:basedOn w:val="Normal"/>
    <w:uiPriority w:val="34"/>
    <w:qFormat/>
    <w:rsid w:val="00F137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CharCharChar">
    <w:name w:val=" Char Char3 Char Char Char"/>
    <w:basedOn w:val="Normal"/>
    <w:rsid w:val="00223386"/>
    <w:pPr>
      <w:spacing w:after="160" w:line="240" w:lineRule="exact"/>
    </w:pPr>
    <w:rPr>
      <w:rFonts w:ascii="Tahoma" w:eastAsia="Times New Roman" w:hAnsi="Tahoma" w:cs="Times New Roman"/>
      <w:sz w:val="20"/>
      <w:szCs w:val="20"/>
    </w:rPr>
  </w:style>
  <w:style w:type="paragraph" w:styleId="ListParagraph">
    <w:name w:val="List Paragraph"/>
    <w:basedOn w:val="Normal"/>
    <w:uiPriority w:val="34"/>
    <w:qFormat/>
    <w:rsid w:val="00F13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389F2-5526-46D5-8D5D-7C79F94BB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9</Pages>
  <Words>3210</Words>
  <Characters>18300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Ivanova</dc:creator>
  <cp:keywords/>
  <dc:description/>
  <cp:lastModifiedBy>Milena Ivanova</cp:lastModifiedBy>
  <cp:revision>11</cp:revision>
  <dcterms:created xsi:type="dcterms:W3CDTF">2016-06-30T11:19:00Z</dcterms:created>
  <dcterms:modified xsi:type="dcterms:W3CDTF">2016-06-30T18:47:00Z</dcterms:modified>
</cp:coreProperties>
</file>