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0560F7CB"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314F50">
        <w:rPr>
          <w:rFonts w:ascii="Times New Roman" w:eastAsiaTheme="minorHAnsi" w:hAnsi="Times New Roman"/>
          <w:b/>
          <w:bCs/>
          <w:sz w:val="20"/>
          <w:szCs w:val="20"/>
          <w:lang w:val="en-US"/>
        </w:rPr>
        <w:t>.4</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4C94946B" w14:textId="77777777" w:rsidR="00C4476E"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7B0EAE33" w14:textId="77777777" w:rsidR="00C4476E" w:rsidRDefault="00C4476E" w:rsidP="00C4476E">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7D3DD8DA" w14:textId="77777777" w:rsidR="00C4476E" w:rsidRPr="00053BC0" w:rsidRDefault="00C4476E" w:rsidP="00C4476E">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48B52CFD"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698BC13F"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318177D6"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4EDF2070"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60EC3E67" w14:textId="77777777"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6222EDD3" w14:textId="77777777" w:rsidR="00C4476E" w:rsidRPr="00EA4E64" w:rsidRDefault="00C4476E" w:rsidP="00C4476E">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710AB3E1" w14:textId="77777777" w:rsidR="00C4476E" w:rsidRDefault="00C4476E" w:rsidP="00C4476E">
      <w:pPr>
        <w:spacing w:before="120" w:after="120" w:line="240" w:lineRule="auto"/>
        <w:rPr>
          <w:rFonts w:ascii="Times New Roman" w:hAnsi="Times New Roman"/>
          <w:sz w:val="20"/>
          <w:szCs w:val="20"/>
          <w:lang w:val="bg-BG"/>
        </w:rPr>
      </w:pPr>
    </w:p>
    <w:p w14:paraId="42A3C516" w14:textId="77777777" w:rsidR="00C4476E" w:rsidRPr="00EA4E64" w:rsidRDefault="00C4476E" w:rsidP="00C4476E">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1FCCAAB2"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09BD3001" w14:textId="77777777"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r w:rsidRPr="007106D3">
        <w:rPr>
          <w:rFonts w:ascii="Times New Roman" w:hAnsi="Times New Roman"/>
          <w:sz w:val="20"/>
          <w:szCs w:val="20"/>
          <w:lang w:val="bg-BG"/>
        </w:rPr>
        <w:t>No</w:t>
      </w:r>
      <w:r>
        <w:rPr>
          <w:rFonts w:ascii="Times New Roman" w:hAnsi="Times New Roman"/>
          <w:sz w:val="20"/>
          <w:szCs w:val="20"/>
          <w:lang w:val="bg-BG"/>
        </w:rPr>
        <w:t xml:space="preserve"> </w:t>
      </w:r>
      <w:r w:rsidRPr="007106D3">
        <w:rPr>
          <w:rFonts w:ascii="Times New Roman" w:hAnsi="Times New Roman"/>
          <w:sz w:val="20"/>
          <w:szCs w:val="20"/>
          <w:lang w:val="bg-BG"/>
        </w:rPr>
        <w:t>Requirement</w:t>
      </w:r>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r w:rsidRPr="00394975">
        <w:rPr>
          <w:rFonts w:ascii="Times New Roman" w:hAnsi="Times New Roman"/>
          <w:sz w:val="20"/>
          <w:szCs w:val="20"/>
          <w:lang w:val="bg-BG"/>
        </w:rPr>
        <w:t>low</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/medium</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/high</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39E758D3" w14:textId="77777777" w:rsidR="00C4476E" w:rsidRPr="00B73DBF" w:rsidRDefault="00C4476E" w:rsidP="00C4476E">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7B4774E9"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7F5CFBD0"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2D354D6E" w14:textId="77777777"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70E839F8" w14:textId="62128290" w:rsidR="00C4476E" w:rsidRPr="00EA4E64" w:rsidRDefault="00C4476E" w:rsidP="00C4476E">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292976" w:rsidRPr="001A38AF">
        <w:rPr>
          <w:rFonts w:ascii="Times New Roman" w:hAnsi="Times New Roman"/>
          <w:i/>
          <w:iCs/>
          <w:sz w:val="20"/>
          <w:szCs w:val="20"/>
          <w:lang w:val="en-US"/>
        </w:rPr>
        <w:t>Low</w:t>
      </w:r>
      <w:r w:rsidR="00292976">
        <w:rPr>
          <w:rFonts w:ascii="Times New Roman" w:hAnsi="Times New Roman"/>
          <w:i/>
          <w:iCs/>
          <w:sz w:val="20"/>
          <w:szCs w:val="20"/>
          <w:lang w:val="en-US"/>
        </w:rPr>
        <w:t xml:space="preserve"> </w:t>
      </w:r>
      <w:r w:rsidR="00292976" w:rsidRPr="001A38AF">
        <w:rPr>
          <w:rFonts w:ascii="Times New Roman" w:hAnsi="Times New Roman"/>
          <w:i/>
          <w:iCs/>
          <w:sz w:val="20"/>
          <w:szCs w:val="20"/>
          <w:lang w:val="en-US"/>
        </w:rPr>
        <w:t>(ARC-b)</w:t>
      </w:r>
      <w:r w:rsidR="00292976">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1804C41A" w14:textId="77777777" w:rsidR="00C4476E" w:rsidRDefault="00C4476E" w:rsidP="00C4476E">
      <w:pPr>
        <w:spacing w:before="120" w:after="120" w:line="240" w:lineRule="auto"/>
        <w:rPr>
          <w:rFonts w:ascii="Times New Roman" w:hAnsi="Times New Roman"/>
          <w:sz w:val="20"/>
          <w:szCs w:val="20"/>
          <w:lang w:val="bg-BG"/>
        </w:rPr>
      </w:pPr>
    </w:p>
    <w:p w14:paraId="09E3C73B" w14:textId="77777777" w:rsidR="00C4476E" w:rsidRDefault="00C4476E" w:rsidP="00C4476E">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025ED53D" w14:textId="77777777" w:rsidR="00C4476E" w:rsidRPr="00053AF2"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0B273E7C" w14:textId="77777777" w:rsidR="00C4476E" w:rsidRPr="00053AF2" w:rsidRDefault="00C4476E" w:rsidP="00C4476E">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7B94CCCC" w14:textId="77777777" w:rsidR="00C4476E" w:rsidRPr="00325C75"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1681B653" w14:textId="77777777" w:rsidR="00C4476E" w:rsidRPr="00053AF2" w:rsidRDefault="00C4476E" w:rsidP="00C4476E">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093C3B0A" w14:textId="77777777" w:rsidR="00C4476E" w:rsidRPr="00053AF2"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66B19A8A" w14:textId="77777777" w:rsidR="00C4476E" w:rsidRPr="00053AF2" w:rsidRDefault="00C4476E" w:rsidP="00C4476E">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46828AE8" w14:textId="77777777" w:rsidR="00C4476E" w:rsidRPr="00EA4E64" w:rsidRDefault="00C4476E" w:rsidP="00C4476E">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79F10979" w:rsidR="00325C75" w:rsidRPr="00325C7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lastRenderedPageBreak/>
        <w:br w:type="page"/>
      </w:r>
    </w:p>
    <w:p w14:paraId="0660C49A" w14:textId="03E0596D" w:rsidR="00325C75" w:rsidRPr="00087D12" w:rsidRDefault="00325C75">
      <w:pPr>
        <w:spacing w:after="160" w:line="259" w:lineRule="auto"/>
        <w:jc w:val="left"/>
        <w:rPr>
          <w:rFonts w:ascii="Times New Roman" w:hAnsi="Times New Roman"/>
          <w:b/>
          <w:bCs/>
          <w:sz w:val="24"/>
          <w:szCs w:val="24"/>
          <w:lang w:val="bg-BG"/>
        </w:rPr>
      </w:pPr>
      <w:r w:rsidRPr="00087D12">
        <w:rPr>
          <w:rFonts w:ascii="Times New Roman" w:hAnsi="Times New Roman"/>
          <w:b/>
          <w:bCs/>
          <w:sz w:val="24"/>
          <w:szCs w:val="24"/>
          <w:lang w:val="bg-BG"/>
        </w:rPr>
        <w:lastRenderedPageBreak/>
        <w:t xml:space="preserve">Част II </w:t>
      </w:r>
      <w:r w:rsidR="007216AF" w:rsidRPr="00087D12">
        <w:rPr>
          <w:rFonts w:ascii="Times New Roman" w:hAnsi="Times New Roman"/>
          <w:b/>
          <w:bCs/>
          <w:sz w:val="24"/>
          <w:szCs w:val="24"/>
          <w:lang w:val="bg-BG"/>
        </w:rPr>
        <w:t xml:space="preserve">Изисквания </w:t>
      </w:r>
      <w:r w:rsidRPr="00087D12">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292976" w:rsidRPr="00BD2C5C" w14:paraId="653015FD" w14:textId="77777777" w:rsidTr="00375760">
        <w:tc>
          <w:tcPr>
            <w:tcW w:w="2973" w:type="dxa"/>
            <w:gridSpan w:val="2"/>
            <w:shd w:val="clear" w:color="auto" w:fill="F4B083" w:themeFill="accent2" w:themeFillTint="99"/>
            <w:vAlign w:val="center"/>
          </w:tcPr>
          <w:p w14:paraId="3531D648" w14:textId="77777777" w:rsidR="00292976" w:rsidRPr="00B3101E" w:rsidRDefault="00292976"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53F65050" w14:textId="77777777" w:rsidR="00292976" w:rsidRPr="00053BC0" w:rsidRDefault="00292976"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2B73E3D5" w14:textId="77777777" w:rsidR="00292976" w:rsidRPr="00053BC0" w:rsidRDefault="00292976"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17F822E5" w14:textId="77777777" w:rsidR="00292976" w:rsidRDefault="00292976"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255F6DBB" w14:textId="77777777" w:rsidR="00292976" w:rsidRPr="00BD0C0C" w:rsidRDefault="00292976"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9015DCC" w14:textId="77777777"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24784429" w14:textId="77777777" w:rsidR="00292976" w:rsidRPr="00BD0C0C" w:rsidRDefault="00292976"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4DBA5B2" w14:textId="77777777"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9707E78" w14:textId="77777777" w:rsidR="00292976" w:rsidRDefault="00292976"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BB0B583" w14:textId="77777777"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292976" w:rsidRPr="00BD2C5C" w14:paraId="32A2DF49" w14:textId="77777777" w:rsidTr="00375760">
        <w:tc>
          <w:tcPr>
            <w:tcW w:w="1555" w:type="dxa"/>
            <w:vMerge w:val="restart"/>
            <w:shd w:val="clear" w:color="auto" w:fill="F7CAAC" w:themeFill="accent2" w:themeFillTint="66"/>
            <w:vAlign w:val="center"/>
          </w:tcPr>
          <w:p w14:paraId="00C87BFB" w14:textId="77777777"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26490355"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5A11A1BB" w14:textId="77777777" w:rsidR="00292976" w:rsidRPr="001A38AF" w:rsidRDefault="00292976" w:rsidP="00375760">
            <w:pPr>
              <w:spacing w:after="0" w:line="240" w:lineRule="auto"/>
              <w:jc w:val="center"/>
              <w:rPr>
                <w:i/>
                <w:iCs/>
                <w:sz w:val="20"/>
                <w:szCs w:val="20"/>
                <w:lang w:val="bg-BG"/>
              </w:rPr>
            </w:pPr>
            <w:r w:rsidRPr="001A38AF">
              <w:rPr>
                <w:i/>
                <w:iCs/>
                <w:sz w:val="20"/>
                <w:szCs w:val="20"/>
                <w:lang w:val="bg-BG"/>
              </w:rPr>
              <w:t>Low</w:t>
            </w:r>
          </w:p>
          <w:p w14:paraId="71765DB5" w14:textId="77777777" w:rsidR="00292976" w:rsidRPr="001A38AF" w:rsidRDefault="00292976"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64F5D7F2"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expectation is for the applicant’s DAA Plan to</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enable the operator to detect approximately 50 %</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of all aircraft in the detection volume.</w:t>
            </w:r>
          </w:p>
          <w:p w14:paraId="466A4E08"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This is the performance requirement in the</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absence of failures and defaults.</w:t>
            </w:r>
          </w:p>
          <w:p w14:paraId="7740710E"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It is required that the applicant has awareness of</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most of the traffic operating in the area in which</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the operator intends to fly, by relying on one or</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more of the following:</w:t>
            </w:r>
          </w:p>
          <w:p w14:paraId="7E3E125B"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(web-based) real time aircraft tracking</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services</w:t>
            </w:r>
          </w:p>
          <w:p w14:paraId="2E531908"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Low Cost ADS-B In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/FLARM/Pilot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Aware aircraft trackers</w:t>
            </w:r>
          </w:p>
          <w:p w14:paraId="44F41801"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UTM/U-space Dynamic Geofencing</w:t>
            </w:r>
          </w:p>
          <w:p w14:paraId="6349BEDE"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Monitoring aeronautical radio communications</w:t>
            </w:r>
          </w:p>
          <w:p w14:paraId="1F2C490E"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(e.g. use of a scanner)</w:t>
            </w:r>
          </w:p>
        </w:tc>
        <w:tc>
          <w:tcPr>
            <w:tcW w:w="2262" w:type="dxa"/>
          </w:tcPr>
          <w:p w14:paraId="00FB61FA"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Allowable loss of function and performance of the Tactical Mitigation System: &lt; 1 per 100 Flight Hours (1E-2 Loss/FH)</w:t>
            </w:r>
          </w:p>
          <w:p w14:paraId="46EA56A9" w14:textId="77777777" w:rsidR="00292976" w:rsidRPr="001A38AF" w:rsidRDefault="00292976"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270B7CFF" w14:textId="77777777" w:rsidR="00292976" w:rsidRPr="001A38AF" w:rsidRDefault="00292976"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r w:rsidRPr="001A38AF">
              <w:rPr>
                <w:rFonts w:ascii="Times New Roman" w:hAnsi="Times New Roman"/>
                <w:i/>
                <w:iCs/>
                <w:sz w:val="24"/>
                <w:szCs w:val="24"/>
                <w:lang w:val="bg-BG"/>
              </w:rPr>
              <w:t xml:space="preserve"> </w:t>
            </w:r>
          </w:p>
        </w:tc>
        <w:tc>
          <w:tcPr>
            <w:tcW w:w="2126" w:type="dxa"/>
          </w:tcPr>
          <w:p w14:paraId="7EC6FB47" w14:textId="77777777" w:rsidR="00292976" w:rsidRDefault="00292976" w:rsidP="00375760">
            <w:pPr>
              <w:spacing w:after="0" w:line="240" w:lineRule="auto"/>
              <w:rPr>
                <w:rFonts w:ascii="Times New Roman" w:hAnsi="Times New Roman"/>
                <w:sz w:val="24"/>
                <w:szCs w:val="24"/>
                <w:lang w:val="en-US"/>
              </w:rPr>
            </w:pPr>
          </w:p>
        </w:tc>
      </w:tr>
      <w:tr w:rsidR="00292976" w:rsidRPr="00BD2C5C" w14:paraId="4AB28290" w14:textId="77777777" w:rsidTr="00375760">
        <w:tc>
          <w:tcPr>
            <w:tcW w:w="1555" w:type="dxa"/>
            <w:vMerge/>
            <w:shd w:val="clear" w:color="auto" w:fill="F7CAAC" w:themeFill="accent2" w:themeFillTint="66"/>
            <w:vAlign w:val="center"/>
          </w:tcPr>
          <w:p w14:paraId="2D5CBD2D"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59D23007"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6F895DB9" w14:textId="77777777" w:rsidR="00292976" w:rsidRPr="001A38AF" w:rsidRDefault="00292976" w:rsidP="00375760">
            <w:pPr>
              <w:spacing w:after="0" w:line="240" w:lineRule="auto"/>
              <w:jc w:val="center"/>
              <w:rPr>
                <w:i/>
                <w:iCs/>
                <w:sz w:val="20"/>
                <w:szCs w:val="20"/>
                <w:lang w:val="bg-BG"/>
              </w:rPr>
            </w:pPr>
          </w:p>
        </w:tc>
        <w:tc>
          <w:tcPr>
            <w:tcW w:w="3831" w:type="dxa"/>
            <w:vMerge/>
            <w:tcBorders>
              <w:bottom w:val="single" w:sz="4" w:space="0" w:color="auto"/>
            </w:tcBorders>
          </w:tcPr>
          <w:p w14:paraId="03DD729A" w14:textId="77777777" w:rsidR="00292976" w:rsidRPr="001A38AF" w:rsidRDefault="00292976"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6182431A"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bottom w:val="single" w:sz="4" w:space="0" w:color="auto"/>
            </w:tcBorders>
          </w:tcPr>
          <w:p w14:paraId="5D552F62" w14:textId="77777777" w:rsidR="00292976" w:rsidRPr="001A38AF" w:rsidRDefault="00292976"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2807B4DE" w14:textId="77777777" w:rsidR="00292976" w:rsidRDefault="00292976" w:rsidP="00375760">
            <w:pPr>
              <w:spacing w:after="0" w:line="240" w:lineRule="auto"/>
              <w:rPr>
                <w:rFonts w:ascii="Times New Roman" w:hAnsi="Times New Roman"/>
                <w:sz w:val="24"/>
                <w:szCs w:val="24"/>
                <w:lang w:val="en-US"/>
              </w:rPr>
            </w:pPr>
          </w:p>
        </w:tc>
      </w:tr>
      <w:tr w:rsidR="00292976" w:rsidRPr="00BD2C5C" w14:paraId="109F7EE9" w14:textId="77777777" w:rsidTr="00375760">
        <w:tc>
          <w:tcPr>
            <w:tcW w:w="1555" w:type="dxa"/>
            <w:vMerge w:val="restart"/>
            <w:shd w:val="clear" w:color="auto" w:fill="F7CAAC" w:themeFill="accent2" w:themeFillTint="66"/>
            <w:vAlign w:val="center"/>
          </w:tcPr>
          <w:p w14:paraId="3D47A6F4" w14:textId="77777777"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00DCB3EA"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DEEC03F"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3B51F91F"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2CEDD22"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650652CB"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EA30FBC" w14:textId="77777777" w:rsidR="00292976" w:rsidRDefault="00292976" w:rsidP="00375760">
            <w:pPr>
              <w:spacing w:after="0" w:line="240" w:lineRule="auto"/>
              <w:rPr>
                <w:rFonts w:ascii="Times New Roman" w:hAnsi="Times New Roman"/>
                <w:sz w:val="24"/>
                <w:szCs w:val="24"/>
                <w:lang w:val="en-US"/>
              </w:rPr>
            </w:pPr>
          </w:p>
        </w:tc>
      </w:tr>
      <w:tr w:rsidR="00292976" w:rsidRPr="00BD2C5C" w14:paraId="1EA799DF" w14:textId="77777777" w:rsidTr="00375760">
        <w:tc>
          <w:tcPr>
            <w:tcW w:w="1555" w:type="dxa"/>
            <w:vMerge/>
            <w:shd w:val="clear" w:color="auto" w:fill="F7CAAC" w:themeFill="accent2" w:themeFillTint="66"/>
            <w:vAlign w:val="center"/>
          </w:tcPr>
          <w:p w14:paraId="51D45B6E"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5AC459EF"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39BB10E6" w14:textId="77777777" w:rsidR="00292976" w:rsidRDefault="00292976" w:rsidP="00375760">
            <w:pPr>
              <w:spacing w:after="0" w:line="240" w:lineRule="auto"/>
              <w:jc w:val="center"/>
              <w:rPr>
                <w:sz w:val="20"/>
                <w:szCs w:val="20"/>
                <w:lang w:val="bg-BG"/>
              </w:rPr>
            </w:pPr>
          </w:p>
        </w:tc>
        <w:tc>
          <w:tcPr>
            <w:tcW w:w="3831" w:type="dxa"/>
            <w:vMerge/>
            <w:shd w:val="clear" w:color="auto" w:fill="FBE4D5" w:themeFill="accent2" w:themeFillTint="33"/>
          </w:tcPr>
          <w:p w14:paraId="588410AF"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D80EE34"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363F188F" w14:textId="77777777" w:rsidR="00292976"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2D9DED5B" w14:textId="77777777" w:rsidR="00292976" w:rsidRDefault="00292976" w:rsidP="00375760">
            <w:pPr>
              <w:spacing w:after="0" w:line="240" w:lineRule="auto"/>
              <w:rPr>
                <w:rFonts w:ascii="Times New Roman" w:hAnsi="Times New Roman"/>
                <w:sz w:val="24"/>
                <w:szCs w:val="24"/>
                <w:lang w:val="en-US"/>
              </w:rPr>
            </w:pPr>
          </w:p>
        </w:tc>
      </w:tr>
      <w:tr w:rsidR="00292976" w:rsidRPr="00BD2C5C" w14:paraId="1E1BAD6F" w14:textId="77777777" w:rsidTr="00375760">
        <w:tc>
          <w:tcPr>
            <w:tcW w:w="1555" w:type="dxa"/>
            <w:vMerge w:val="restart"/>
            <w:shd w:val="clear" w:color="auto" w:fill="F7CAAC" w:themeFill="accent2" w:themeFillTint="66"/>
            <w:vAlign w:val="center"/>
          </w:tcPr>
          <w:p w14:paraId="1EC6C360" w14:textId="77777777" w:rsidR="00292976" w:rsidRPr="00BD2C5C" w:rsidRDefault="00292976"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4A41F8AA"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5FED73D6"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tcPr>
          <w:p w14:paraId="3381D007"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14:paraId="16167CFB"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tcPr>
          <w:p w14:paraId="77C553E4"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tcPr>
          <w:p w14:paraId="68304032" w14:textId="77777777" w:rsidR="00292976" w:rsidRDefault="00292976" w:rsidP="00375760">
            <w:pPr>
              <w:spacing w:after="0" w:line="240" w:lineRule="auto"/>
              <w:rPr>
                <w:rFonts w:ascii="Times New Roman" w:hAnsi="Times New Roman"/>
                <w:sz w:val="24"/>
                <w:szCs w:val="24"/>
                <w:lang w:val="en-US"/>
              </w:rPr>
            </w:pPr>
          </w:p>
        </w:tc>
      </w:tr>
      <w:tr w:rsidR="00292976" w:rsidRPr="00BD2C5C" w14:paraId="655BADEA" w14:textId="77777777" w:rsidTr="00375760">
        <w:tc>
          <w:tcPr>
            <w:tcW w:w="1555" w:type="dxa"/>
            <w:vMerge/>
            <w:shd w:val="clear" w:color="auto" w:fill="F7CAAC" w:themeFill="accent2" w:themeFillTint="66"/>
            <w:vAlign w:val="center"/>
          </w:tcPr>
          <w:p w14:paraId="26D94B0D"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920EF63"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7F8C959B" w14:textId="77777777" w:rsidR="00292976" w:rsidRDefault="00292976" w:rsidP="00375760">
            <w:pPr>
              <w:spacing w:after="0" w:line="240" w:lineRule="auto"/>
              <w:jc w:val="center"/>
              <w:rPr>
                <w:sz w:val="20"/>
                <w:szCs w:val="20"/>
                <w:lang w:val="bg-BG"/>
              </w:rPr>
            </w:pPr>
          </w:p>
        </w:tc>
        <w:tc>
          <w:tcPr>
            <w:tcW w:w="3831" w:type="dxa"/>
            <w:vMerge/>
            <w:tcBorders>
              <w:bottom w:val="single" w:sz="4" w:space="0" w:color="auto"/>
            </w:tcBorders>
          </w:tcPr>
          <w:p w14:paraId="4F546A32"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747AE8FC"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2A49102C" w14:textId="77777777" w:rsidR="00292976" w:rsidRDefault="00292976"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4FFE2EF1" w14:textId="77777777" w:rsidR="00292976" w:rsidRDefault="00292976" w:rsidP="00375760">
            <w:pPr>
              <w:spacing w:after="0" w:line="240" w:lineRule="auto"/>
              <w:rPr>
                <w:rFonts w:ascii="Times New Roman" w:hAnsi="Times New Roman"/>
                <w:sz w:val="24"/>
                <w:szCs w:val="24"/>
                <w:lang w:val="en-US"/>
              </w:rPr>
            </w:pPr>
          </w:p>
        </w:tc>
      </w:tr>
      <w:bookmarkEnd w:id="4"/>
      <w:tr w:rsidR="00292976" w:rsidRPr="00BD2C5C" w14:paraId="1BEE5045" w14:textId="77777777" w:rsidTr="00375760">
        <w:tc>
          <w:tcPr>
            <w:tcW w:w="1555" w:type="dxa"/>
            <w:vMerge w:val="restart"/>
            <w:shd w:val="clear" w:color="auto" w:fill="F7CAAC" w:themeFill="accent2" w:themeFillTint="66"/>
            <w:vAlign w:val="center"/>
          </w:tcPr>
          <w:p w14:paraId="092BC619" w14:textId="77777777"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6F5B699F"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0EFEFFA"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2FD5FCFF"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3F579ECD"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1F73E1FC"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BB14D46" w14:textId="77777777" w:rsidR="00292976" w:rsidRDefault="00292976" w:rsidP="00375760">
            <w:pPr>
              <w:spacing w:after="0" w:line="240" w:lineRule="auto"/>
              <w:rPr>
                <w:rFonts w:ascii="Times New Roman" w:hAnsi="Times New Roman"/>
                <w:sz w:val="24"/>
                <w:szCs w:val="24"/>
                <w:lang w:val="en-US"/>
              </w:rPr>
            </w:pPr>
          </w:p>
        </w:tc>
      </w:tr>
      <w:tr w:rsidR="00292976" w:rsidRPr="00BD2C5C" w14:paraId="473531EA" w14:textId="77777777" w:rsidTr="00375760">
        <w:tc>
          <w:tcPr>
            <w:tcW w:w="1555" w:type="dxa"/>
            <w:vMerge/>
            <w:shd w:val="clear" w:color="auto" w:fill="F7CAAC" w:themeFill="accent2" w:themeFillTint="66"/>
            <w:vAlign w:val="center"/>
          </w:tcPr>
          <w:p w14:paraId="208A38BE"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71AF840C"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7569B4F2" w14:textId="77777777" w:rsidR="00292976" w:rsidRDefault="00292976" w:rsidP="00375760">
            <w:pPr>
              <w:spacing w:after="0" w:line="240" w:lineRule="auto"/>
              <w:jc w:val="center"/>
              <w:rPr>
                <w:sz w:val="20"/>
                <w:szCs w:val="20"/>
                <w:lang w:val="bg-BG"/>
              </w:rPr>
            </w:pPr>
          </w:p>
        </w:tc>
        <w:tc>
          <w:tcPr>
            <w:tcW w:w="3831" w:type="dxa"/>
            <w:vMerge/>
            <w:shd w:val="clear" w:color="auto" w:fill="FBE4D5" w:themeFill="accent2" w:themeFillTint="33"/>
          </w:tcPr>
          <w:p w14:paraId="734F9A07"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4FD4F0F5"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372CCEEE" w14:textId="77777777" w:rsidR="00292976"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D0B57D4" w14:textId="77777777" w:rsidR="00292976" w:rsidRDefault="00292976" w:rsidP="00375760">
            <w:pPr>
              <w:spacing w:after="0" w:line="240" w:lineRule="auto"/>
              <w:rPr>
                <w:rFonts w:ascii="Times New Roman" w:hAnsi="Times New Roman"/>
                <w:sz w:val="24"/>
                <w:szCs w:val="24"/>
                <w:lang w:val="en-US"/>
              </w:rPr>
            </w:pPr>
          </w:p>
        </w:tc>
      </w:tr>
      <w:tr w:rsidR="00292976" w:rsidRPr="00BD2C5C" w14:paraId="5821B1F5" w14:textId="77777777" w:rsidTr="00375760">
        <w:tc>
          <w:tcPr>
            <w:tcW w:w="1555" w:type="dxa"/>
            <w:vMerge w:val="restart"/>
            <w:shd w:val="clear" w:color="auto" w:fill="F7CAAC" w:themeFill="accent2" w:themeFillTint="66"/>
          </w:tcPr>
          <w:p w14:paraId="5EC8A5F0" w14:textId="77777777" w:rsidR="00292976" w:rsidRPr="00B3101E"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5292D069" w14:textId="77777777" w:rsidR="00292976" w:rsidRPr="00BD2C5C" w:rsidRDefault="00292976"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65523F62"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1F567A61"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tcPr>
          <w:p w14:paraId="53A1A4AB"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14:paraId="7B370E42"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tcPr>
          <w:p w14:paraId="0A2AE786"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tcPr>
          <w:p w14:paraId="2B00C8BD" w14:textId="77777777" w:rsidR="00292976" w:rsidRDefault="00292976" w:rsidP="00375760">
            <w:pPr>
              <w:spacing w:after="0" w:line="240" w:lineRule="auto"/>
              <w:rPr>
                <w:rFonts w:ascii="Times New Roman" w:hAnsi="Times New Roman"/>
                <w:sz w:val="24"/>
                <w:szCs w:val="24"/>
                <w:lang w:val="en-US"/>
              </w:rPr>
            </w:pPr>
          </w:p>
        </w:tc>
      </w:tr>
      <w:tr w:rsidR="00292976" w:rsidRPr="00BD2C5C" w14:paraId="6E746F7E" w14:textId="77777777" w:rsidTr="00375760">
        <w:tc>
          <w:tcPr>
            <w:tcW w:w="1555" w:type="dxa"/>
            <w:vMerge/>
            <w:shd w:val="clear" w:color="auto" w:fill="F7CAAC" w:themeFill="accent2" w:themeFillTint="66"/>
            <w:vAlign w:val="center"/>
          </w:tcPr>
          <w:p w14:paraId="1FB4DFCB"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78FA35C6"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31EDF4A0" w14:textId="77777777" w:rsidR="00292976" w:rsidRDefault="00292976" w:rsidP="00375760">
            <w:pPr>
              <w:spacing w:after="0" w:line="240" w:lineRule="auto"/>
              <w:jc w:val="center"/>
              <w:rPr>
                <w:sz w:val="20"/>
                <w:szCs w:val="20"/>
                <w:lang w:val="bg-BG"/>
              </w:rPr>
            </w:pPr>
          </w:p>
        </w:tc>
        <w:tc>
          <w:tcPr>
            <w:tcW w:w="3831" w:type="dxa"/>
            <w:vMerge/>
          </w:tcPr>
          <w:p w14:paraId="10CE762B"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14:paraId="5B981381"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tcPr>
          <w:p w14:paraId="74312B6E" w14:textId="77777777" w:rsidR="00292976" w:rsidRDefault="00292976" w:rsidP="00375760">
            <w:pPr>
              <w:spacing w:after="0" w:line="240" w:lineRule="auto"/>
              <w:rPr>
                <w:rFonts w:ascii="Times New Roman" w:hAnsi="Times New Roman"/>
                <w:i/>
                <w:iCs/>
                <w:sz w:val="16"/>
                <w:szCs w:val="16"/>
                <w:lang w:val="bg-BG"/>
              </w:rPr>
            </w:pPr>
          </w:p>
        </w:tc>
        <w:tc>
          <w:tcPr>
            <w:tcW w:w="2126" w:type="dxa"/>
          </w:tcPr>
          <w:p w14:paraId="1D5C068F" w14:textId="77777777" w:rsidR="00292976" w:rsidRDefault="00292976" w:rsidP="00375760">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5384" w:type="dxa"/>
        <w:tblInd w:w="-572" w:type="dxa"/>
        <w:tblCellMar>
          <w:top w:w="113" w:type="dxa"/>
          <w:bottom w:w="85" w:type="dxa"/>
        </w:tblCellMar>
        <w:tblLook w:val="04A0" w:firstRow="1" w:lastRow="0" w:firstColumn="1" w:lastColumn="0" w:noHBand="0" w:noVBand="1"/>
      </w:tblPr>
      <w:tblGrid>
        <w:gridCol w:w="1823"/>
        <w:gridCol w:w="1149"/>
        <w:gridCol w:w="1384"/>
        <w:gridCol w:w="5850"/>
        <w:gridCol w:w="2758"/>
        <w:gridCol w:w="2420"/>
      </w:tblGrid>
      <w:tr w:rsidR="00BD0C0C" w:rsidRPr="00BD2C5C" w14:paraId="649E3E62" w14:textId="57C98560" w:rsidTr="00087D12">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6C3E2306"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DC6F6B">
              <w:rPr>
                <w:rFonts w:ascii="Times New Roman" w:hAnsi="Times New Roman"/>
                <w:b/>
                <w:sz w:val="24"/>
                <w:szCs w:val="24"/>
              </w:rPr>
              <w:t>V</w:t>
            </w:r>
            <w:r w:rsidRPr="00BD2C5C">
              <w:rPr>
                <w:rFonts w:ascii="Times New Roman" w:hAnsi="Times New Roman"/>
                <w:b/>
                <w:sz w:val="24"/>
                <w:szCs w:val="24"/>
              </w:rPr>
              <w:t xml:space="preserve"> Level of robustness</w:t>
            </w:r>
          </w:p>
        </w:tc>
        <w:tc>
          <w:tcPr>
            <w:tcW w:w="5850"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0C704C6A"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DC6F6B">
              <w:rPr>
                <w:rFonts w:ascii="Times New Roman" w:hAnsi="Times New Roman"/>
                <w:bCs/>
                <w:sz w:val="24"/>
                <w:szCs w:val="24"/>
              </w:rPr>
              <w:t>V</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087D12">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397B0260"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087D12">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850" w:type="dxa"/>
            <w:shd w:val="clear" w:color="auto" w:fill="auto"/>
          </w:tcPr>
          <w:p w14:paraId="3642EE22" w14:textId="012F8056"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087D12">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7A51F4E1"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 xml:space="preserve">Medium </w:t>
            </w:r>
          </w:p>
        </w:tc>
        <w:tc>
          <w:tcPr>
            <w:tcW w:w="5850" w:type="dxa"/>
            <w:shd w:val="clear" w:color="auto" w:fill="FBE4D5" w:themeFill="accent2" w:themeFillTint="33"/>
          </w:tcPr>
          <w:p w14:paraId="1094EE29"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As a minimum, manufacturing procedures cover: (a) the specification of materials; </w:t>
            </w:r>
          </w:p>
          <w:p w14:paraId="494C114D"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(b) the suitability and durability of materials used; and </w:t>
            </w:r>
          </w:p>
          <w:p w14:paraId="02BBB3B2" w14:textId="77777777" w:rsidR="00BD0C0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(c) the processes necessary to allow for repeatability in manufacturing, and conformity within acceptable tolerances.</w:t>
            </w:r>
          </w:p>
          <w:p w14:paraId="2A6B9082"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manufacturing procedures also cover: </w:t>
            </w:r>
          </w:p>
          <w:p w14:paraId="67842DA0"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(a) configuration control; </w:t>
            </w:r>
          </w:p>
          <w:p w14:paraId="61152CAC"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(b) the verification of incoming products, parts, materials, and equipment; </w:t>
            </w:r>
          </w:p>
          <w:p w14:paraId="65C00E02"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(c) identification and traceability; </w:t>
            </w:r>
          </w:p>
          <w:p w14:paraId="05EA331B"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(d) in-process and final inspections &amp; testing; </w:t>
            </w:r>
          </w:p>
          <w:p w14:paraId="065AECD5"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lastRenderedPageBreak/>
              <w:t xml:space="preserve">(e) the control and calibration of tools; </w:t>
            </w:r>
          </w:p>
          <w:p w14:paraId="4C95C84C"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(f) handling and storage; and </w:t>
            </w:r>
          </w:p>
          <w:p w14:paraId="1A92DB05" w14:textId="693C6258" w:rsidR="00107FE4" w:rsidRPr="00BD2C5C"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(g) the control of non-conforming items.</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087D12">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850" w:type="dxa"/>
            <w:shd w:val="clear" w:color="auto" w:fill="FBE4D5" w:themeFill="accent2" w:themeFillTint="33"/>
          </w:tcPr>
          <w:p w14:paraId="3ADCB964" w14:textId="77777777" w:rsidR="00BD0C0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6962EA35" w14:textId="77777777" w:rsidR="00CA6550"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evidence is available that the UAS has been manufactured in conformance to its design. </w:t>
            </w:r>
          </w:p>
          <w:p w14:paraId="0D196857" w14:textId="133167AC" w:rsidR="00107FE4" w:rsidRPr="00BD2C5C"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087D12">
        <w:trPr>
          <w:trHeight w:val="447"/>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1EB65A0" w:rsidR="00AD5D81" w:rsidRPr="00BD2C5C" w:rsidRDefault="00AD5D81" w:rsidP="0053083F">
            <w:pPr>
              <w:spacing w:after="0" w:line="240" w:lineRule="auto"/>
              <w:jc w:val="center"/>
              <w:rPr>
                <w:rFonts w:ascii="Times New Roman" w:hAnsi="Times New Roman"/>
                <w:sz w:val="24"/>
                <w:szCs w:val="24"/>
              </w:rPr>
            </w:pPr>
            <w:r w:rsidRPr="007639A4">
              <w:rPr>
                <w:rFonts w:ascii="Times New Roman" w:hAnsi="Times New Roman"/>
                <w:sz w:val="24"/>
                <w:szCs w:val="24"/>
              </w:rPr>
              <w:t>Medium</w:t>
            </w:r>
          </w:p>
        </w:tc>
        <w:tc>
          <w:tcPr>
            <w:tcW w:w="5850"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CA6550">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2B57B357" w14:textId="329E50F6"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087D12">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850"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385DED9"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7A4D8016"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(a) The maintenance programme is developed in accordance with standards considered adequate by the competent authority and/or in accordance with a means of compliance acceptable to that authority.</w:t>
            </w:r>
          </w:p>
          <w:p w14:paraId="6265E511" w14:textId="0A37C0E2"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087D12">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850"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552A54A4" w14:textId="77777777"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17EF5F5E"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63934EE1" w14:textId="0A41D151" w:rsidR="00AD5D81" w:rsidRPr="00BD2C5C"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087D12">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67EFFA68"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850" w:type="dxa"/>
            <w:shd w:val="clear" w:color="auto" w:fill="FBE4D5" w:themeFill="accent2" w:themeFillTint="33"/>
          </w:tcPr>
          <w:p w14:paraId="006BCE34" w14:textId="777777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Pr="00AD5D81">
              <w:rPr>
                <w:rFonts w:ascii="Times New Roman" w:hAnsi="Times New Roman"/>
                <w:sz w:val="24"/>
                <w:szCs w:val="24"/>
                <w:u w:val="single"/>
              </w:rPr>
              <w:t>low</w:t>
            </w:r>
            <w:r w:rsidRPr="00AD5D81">
              <w:rPr>
                <w:rFonts w:ascii="Times New Roman" w:hAnsi="Times New Roman"/>
                <w:sz w:val="24"/>
                <w:szCs w:val="24"/>
              </w:rPr>
              <w:t xml:space="preserve"> 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087D12">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850" w:type="dxa"/>
            <w:shd w:val="clear" w:color="auto" w:fill="FBE4D5" w:themeFill="accent2" w:themeFillTint="33"/>
          </w:tcPr>
          <w:p w14:paraId="5CC6F76C" w14:textId="77777777" w:rsidR="00AD5D81" w:rsidRP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applicant declares that the required level of integrity has been achieved</w:t>
            </w:r>
            <w:r w:rsidRPr="00AD5D81">
              <w:rPr>
                <w:rFonts w:ascii="Times New Roman" w:hAnsi="Times New Roman"/>
                <w:sz w:val="24"/>
                <w:szCs w:val="24"/>
                <w:vertAlign w:val="superscript"/>
              </w:rPr>
              <w:t>1</w:t>
            </w:r>
            <w:r w:rsidRPr="00AD5D81">
              <w:rPr>
                <w:rFonts w:ascii="Times New Roman" w:hAnsi="Times New Roman"/>
                <w:sz w:val="24"/>
                <w:szCs w:val="24"/>
              </w:rPr>
              <w:t>.</w:t>
            </w:r>
          </w:p>
          <w:p w14:paraId="580ECC17"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The competent authority may request EASA to validate the claimed integrity.</w:t>
            </w:r>
          </w:p>
          <w:p w14:paraId="0119C0C9" w14:textId="4AB870BC"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087D12">
        <w:trPr>
          <w:trHeight w:val="2148"/>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lastRenderedPageBreak/>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66C4DCF1" w:rsidR="00AD5D81" w:rsidRPr="00BD2C5C" w:rsidRDefault="00107FE4" w:rsidP="00AD5D81">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332EF2A2" w14:textId="295CF96C"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6ED95EFA" w14:textId="22F8BB5A"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22E7EEE6" w14:textId="00E0CF8B"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087D12">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850" w:type="dxa"/>
            <w:tcBorders>
              <w:bottom w:val="single" w:sz="4" w:space="0" w:color="auto"/>
            </w:tcBorders>
          </w:tcPr>
          <w:p w14:paraId="3E313612" w14:textId="77777777"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14:paraId="63C15CAA" w14:textId="77777777" w:rsidR="00CA6550"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In addition: </w:t>
            </w:r>
          </w:p>
          <w:p w14:paraId="626F479C" w14:textId="77777777" w:rsidR="00CA6550"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(a) Safety analyses are conducted in line with standards considered adequate by the competent authority and/or in accordance with a means of compliance acceptable to that authority. </w:t>
            </w:r>
          </w:p>
          <w:p w14:paraId="597A9CAF" w14:textId="0C0CCF09"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(b) A strategy for the detection of single failures of concern includes pre-flight checks.</w:t>
            </w:r>
          </w:p>
          <w:p w14:paraId="0781DF62" w14:textId="43A985B0"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087D12">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1C4149F3" w:rsidR="00BD0C0C" w:rsidRPr="00BD2C5C" w:rsidRDefault="00107FE4"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lastRenderedPageBreak/>
              <w:t>(b) the use of mechanisms to protect against interference (e.g. FHSS, frequency de-confliction by procedure).</w:t>
            </w:r>
          </w:p>
          <w:p w14:paraId="24198EDD" w14:textId="553FD32A"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14:paraId="0C94E2A7" w14:textId="77777777" w:rsidR="00107FE4" w:rsidRDefault="00107FE4" w:rsidP="002F7B50">
            <w:pPr>
              <w:spacing w:after="0" w:line="240" w:lineRule="auto"/>
              <w:rPr>
                <w:rFonts w:ascii="Times New Roman" w:hAnsi="Times New Roman"/>
                <w:i/>
                <w:iCs/>
                <w:sz w:val="18"/>
                <w:szCs w:val="18"/>
              </w:rPr>
            </w:pPr>
          </w:p>
          <w:p w14:paraId="2279D8A7" w14:textId="39397635" w:rsidR="00107FE4" w:rsidRP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(e.g. licensed bands for cellular network) may be acceptable.</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087D12">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6C417E75" w14:textId="77777777"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14:paraId="51ACF4B9" w14:textId="279D45DE" w:rsidR="002F7B50" w:rsidRPr="00107FE4"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087D12">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49EF879F" w:rsidR="00BD0C0C" w:rsidRPr="00647D5A"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087D12">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850"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0E748BBF" w14:textId="5F794F66" w:rsidR="00A5353A" w:rsidRPr="00647D5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087D12">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850"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7E7AC866" w14:textId="77777777"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A training syllabus including a product inspection procedure is available. </w:t>
            </w:r>
          </w:p>
          <w:p w14:paraId="17874189" w14:textId="56BF2852" w:rsidR="00BD0C0C" w:rsidRPr="00647D5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087D12">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087D12">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087D12">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lastRenderedPageBreak/>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087D12">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157D1AEC" w:rsidR="00CC5741" w:rsidRPr="00BD2C5C" w:rsidRDefault="00A5353A" w:rsidP="00CC5741">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087D12">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26FC7973" w:rsidR="00BD0C0C" w:rsidRPr="00BD2C5C"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087D12">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850" w:type="dxa"/>
            <w:tcBorders>
              <w:bottom w:val="single" w:sz="4" w:space="0" w:color="auto"/>
            </w:tcBorders>
          </w:tcPr>
          <w:p w14:paraId="56403829" w14:textId="78B75E00"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Training syllabus is available. </w:t>
            </w:r>
          </w:p>
          <w:p w14:paraId="28FE1B2B" w14:textId="4867EEC8" w:rsidR="00BD0C0C"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087D12">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5939F389"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31345A1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087D12">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p w14:paraId="46A00B5C" w14:textId="77777777" w:rsidR="00CA6550"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the level of integrity claimed is substantiated by analysis and/or test data with supporting evidence. </w:t>
            </w:r>
          </w:p>
          <w:p w14:paraId="5B35F0B5" w14:textId="621B267A" w:rsidR="009C755E"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3F602CAA" w14:textId="4071FAA1"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087D12">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1E8CC581"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1FDE0280"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14:paraId="3155FACE" w14:textId="357B49B6"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lastRenderedPageBreak/>
              <w:t>Requirements for contracting services with the service provider may be derived from ICAO Standards and Recommended Practices (SARPs) that are currently under development.</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087D12">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850"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14:paraId="5C342CDE" w14:textId="77777777"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14:paraId="009CEA15"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14:paraId="35F855B9"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14:paraId="04FF153E" w14:textId="1ECCE84B"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087D12">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1B7DFA35"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087D12">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087D12">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486DA2F9" w14:textId="54C59E4C" w:rsidR="009C755E" w:rsidRPr="00594323"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Communication devices comply with standards considered adequate by the competent authority and/or in accordance with a means of compliance acceptable to that authority.</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087D12">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57CE82C5" w14:textId="4A58286A" w:rsidR="00BD0C0C"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087D12">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51225D5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Training syllabus is available. </w:t>
            </w:r>
          </w:p>
          <w:p w14:paraId="377B0A40" w14:textId="517A0518" w:rsidR="009C755E"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(b) The UAS operator provides competency-based, theoretical and practical training.</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087D12">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02090B26" w14:textId="478290FB"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w:t>
            </w:r>
            <w:r w:rsidR="009C755E">
              <w:rPr>
                <w:rFonts w:ascii="Times New Roman" w:hAnsi="Times New Roman"/>
                <w:sz w:val="24"/>
                <w:szCs w:val="24"/>
              </w:rPr>
              <w:t>(Section 9)</w:t>
            </w:r>
          </w:p>
          <w:p w14:paraId="37258860" w14:textId="77777777" w:rsidR="00CA6550"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applicant has supporting evidence that the required level of integrity is achieved. This is typically done by</w:t>
            </w:r>
            <w:r>
              <w:t xml:space="preserve"> </w:t>
            </w:r>
            <w:r w:rsidRPr="009C755E">
              <w:rPr>
                <w:rFonts w:ascii="Times New Roman" w:hAnsi="Times New Roman"/>
                <w:sz w:val="24"/>
                <w:szCs w:val="24"/>
              </w:rPr>
              <w:t>testing, analysis, simulation</w:t>
            </w:r>
            <w:r w:rsidRPr="009C755E">
              <w:rPr>
                <w:rFonts w:ascii="Times New Roman" w:hAnsi="Times New Roman"/>
                <w:sz w:val="24"/>
                <w:szCs w:val="24"/>
                <w:vertAlign w:val="superscript"/>
              </w:rPr>
              <w:t>2</w:t>
            </w:r>
            <w:r w:rsidRPr="009C755E">
              <w:rPr>
                <w:rFonts w:ascii="Times New Roman" w:hAnsi="Times New Roman"/>
                <w:sz w:val="24"/>
                <w:szCs w:val="24"/>
              </w:rPr>
              <w:t xml:space="preserve">, inspection, design review or through operational experience. </w:t>
            </w:r>
          </w:p>
          <w:p w14:paraId="4C33A80D" w14:textId="04E097A0"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p w14:paraId="7FFFEB50" w14:textId="4EBED0B0"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087D12">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217386AD"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tcPr>
          <w:p w14:paraId="22427A87"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14:paraId="17B1F528" w14:textId="10782FE3" w:rsidR="009C755E" w:rsidRPr="00BD2C5C" w:rsidRDefault="009C755E" w:rsidP="009C755E">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9C755E">
              <w:rPr>
                <w:rFonts w:ascii="Times New Roman" w:hAnsi="Times New Roman"/>
                <w:sz w:val="24"/>
                <w:szCs w:val="24"/>
              </w:rPr>
              <w:t xml:space="preserve"> The UAS operator defines requirements appropriate for the remote crew to operate the UAS.</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087D12">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850" w:type="dxa"/>
            <w:tcBorders>
              <w:bottom w:val="single" w:sz="4" w:space="0" w:color="auto"/>
            </w:tcBorders>
          </w:tcPr>
          <w:p w14:paraId="23329EEF"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35EDAE02"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BA4BB9"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duty day commences, </w:t>
            </w:r>
          </w:p>
          <w:p w14:paraId="16EA3BF6"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are free from duties, and </w:t>
            </w:r>
          </w:p>
          <w:p w14:paraId="0337F394"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resting times within the duty cycle. </w:t>
            </w:r>
          </w:p>
          <w:p w14:paraId="12AEACB5" w14:textId="14882F36" w:rsidR="009C755E" w:rsidRPr="00BD2C5C"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There is evidence that the remote crew is fit to operate the UAS.</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A4BB9" w:rsidRPr="00BD2C5C" w14:paraId="44A12036" w14:textId="14AE177F" w:rsidTr="00087D12">
        <w:tc>
          <w:tcPr>
            <w:tcW w:w="1823" w:type="dxa"/>
            <w:vMerge w:val="restart"/>
            <w:shd w:val="clear" w:color="auto" w:fill="F7CAAC" w:themeFill="accent2" w:themeFillTint="66"/>
            <w:vAlign w:val="center"/>
          </w:tcPr>
          <w:p w14:paraId="48DD96F5" w14:textId="77777777"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20928228" w:rsidR="00BA4BB9" w:rsidRPr="00BD2C5C" w:rsidRDefault="006850F7" w:rsidP="00BA4BB9">
            <w:pPr>
              <w:spacing w:after="0" w:line="240" w:lineRule="auto"/>
              <w:jc w:val="center"/>
              <w:rPr>
                <w:rFonts w:ascii="Times New Roman" w:hAnsi="Times New Roman"/>
                <w:sz w:val="24"/>
                <w:szCs w:val="24"/>
              </w:rPr>
            </w:pPr>
            <w:r w:rsidRPr="006850F7">
              <w:rPr>
                <w:rFonts w:ascii="Times New Roman" w:hAnsi="Times New Roman"/>
                <w:sz w:val="24"/>
                <w:szCs w:val="24"/>
              </w:rPr>
              <w:t>Medium</w:t>
            </w:r>
          </w:p>
        </w:tc>
        <w:tc>
          <w:tcPr>
            <w:tcW w:w="5850" w:type="dxa"/>
            <w:shd w:val="clear" w:color="auto" w:fill="FBE4D5" w:themeFill="accent2" w:themeFillTint="33"/>
          </w:tcPr>
          <w:p w14:paraId="42DCB9F3" w14:textId="2409FA5B" w:rsidR="006850F7" w:rsidRPr="006850F7"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 xml:space="preserve">timely recovery to the designed operational flight envelope </w:t>
            </w:r>
            <w:r w:rsidRPr="004B14E8">
              <w:rPr>
                <w:rFonts w:ascii="Times New Roman" w:hAnsi="Times New Roman"/>
                <w:sz w:val="24"/>
                <w:szCs w:val="24"/>
                <w:u w:val="single"/>
              </w:rPr>
              <w:t>following remote pilot error(s).</w:t>
            </w:r>
          </w:p>
        </w:tc>
        <w:tc>
          <w:tcPr>
            <w:tcW w:w="2758" w:type="dxa"/>
            <w:shd w:val="clear" w:color="auto" w:fill="FBE4D5" w:themeFill="accent2" w:themeFillTint="33"/>
          </w:tcPr>
          <w:p w14:paraId="28D669AF" w14:textId="4787F82C"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5FE998DA" w14:textId="1B1D93EC" w:rsidTr="00087D12">
        <w:tc>
          <w:tcPr>
            <w:tcW w:w="1823" w:type="dxa"/>
            <w:vMerge/>
            <w:shd w:val="clear" w:color="auto" w:fill="F7CAAC" w:themeFill="accent2" w:themeFillTint="66"/>
            <w:vAlign w:val="center"/>
          </w:tcPr>
          <w:p w14:paraId="745D95F3" w14:textId="77777777" w:rsidR="00BA4BB9" w:rsidRPr="000743CA" w:rsidRDefault="00BA4BB9" w:rsidP="00BA4BB9">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A4BB9" w:rsidRPr="00BD2C5C" w:rsidRDefault="00BA4BB9" w:rsidP="00BA4BB9">
            <w:pPr>
              <w:spacing w:after="0" w:line="240" w:lineRule="auto"/>
              <w:rPr>
                <w:rFonts w:ascii="Times New Roman" w:hAnsi="Times New Roman"/>
                <w:sz w:val="24"/>
                <w:szCs w:val="24"/>
              </w:rPr>
            </w:pPr>
          </w:p>
        </w:tc>
        <w:tc>
          <w:tcPr>
            <w:tcW w:w="5850" w:type="dxa"/>
            <w:shd w:val="clear" w:color="auto" w:fill="FBE4D5" w:themeFill="accent2" w:themeFillTint="33"/>
          </w:tcPr>
          <w:p w14:paraId="08FBD3F3" w14:textId="77777777" w:rsidR="006850F7"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14:paraId="5AFC06CB" w14:textId="5E1FE75D" w:rsidR="00BA4BB9" w:rsidRPr="00BD2C5C"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119D704B" w14:textId="46487A63"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811E254" w14:textId="6B5A7B14" w:rsidTr="004B14E8">
        <w:tc>
          <w:tcPr>
            <w:tcW w:w="1823" w:type="dxa"/>
            <w:vMerge w:val="restart"/>
            <w:shd w:val="clear" w:color="auto" w:fill="F7CAAC" w:themeFill="accent2" w:themeFillTint="66"/>
            <w:vAlign w:val="center"/>
          </w:tcPr>
          <w:p w14:paraId="1F99D876" w14:textId="77777777" w:rsidR="00BA4BB9" w:rsidRDefault="00BA4BB9" w:rsidP="004B14E8">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A4BB9" w:rsidRPr="000743CA" w:rsidRDefault="00BA4BB9" w:rsidP="004B14E8">
            <w:pPr>
              <w:spacing w:after="0" w:line="240" w:lineRule="auto"/>
              <w:jc w:val="left"/>
              <w:rPr>
                <w:rFonts w:ascii="Times New Roman" w:hAnsi="Times New Roman"/>
                <w:b/>
                <w:sz w:val="24"/>
                <w:szCs w:val="24"/>
              </w:rPr>
            </w:pPr>
            <w:r w:rsidRPr="00594323">
              <w:rPr>
                <w:rFonts w:ascii="Times New Roman" w:hAnsi="Times New Roman"/>
                <w:b/>
                <w:sz w:val="24"/>
                <w:szCs w:val="24"/>
              </w:rPr>
              <w:lastRenderedPageBreak/>
              <w:t>Safe recovery from Human Error</w:t>
            </w:r>
          </w:p>
        </w:tc>
        <w:tc>
          <w:tcPr>
            <w:tcW w:w="1149" w:type="dxa"/>
            <w:vMerge w:val="restart"/>
            <w:vAlign w:val="center"/>
          </w:tcPr>
          <w:p w14:paraId="057C01ED"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01629F11" w14:textId="3801152B" w:rsidR="00BA4BB9" w:rsidRPr="00BD2C5C" w:rsidRDefault="006850F7" w:rsidP="00BA4BB9">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7B02AF9B"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w:t>
            </w:r>
            <w:r w:rsidRPr="00BA4BB9">
              <w:rPr>
                <w:rFonts w:ascii="Times New Roman" w:hAnsi="Times New Roman"/>
                <w:sz w:val="24"/>
                <w:szCs w:val="24"/>
              </w:rPr>
              <w:lastRenderedPageBreak/>
              <w:t xml:space="preserve">mission are defined and used. Procedures provide at a minimum: </w:t>
            </w:r>
          </w:p>
          <w:p w14:paraId="28804ADD"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BA4BB9" w:rsidRPr="00BD2C5C" w:rsidRDefault="00BA4BB9" w:rsidP="00BA4BB9">
            <w:pPr>
              <w:spacing w:after="0" w:line="240" w:lineRule="auto"/>
              <w:rPr>
                <w:rFonts w:ascii="Times New Roman" w:hAnsi="Times New Roman"/>
                <w:sz w:val="24"/>
                <w:szCs w:val="24"/>
              </w:rPr>
            </w:pPr>
          </w:p>
        </w:tc>
        <w:tc>
          <w:tcPr>
            <w:tcW w:w="2420" w:type="dxa"/>
          </w:tcPr>
          <w:p w14:paraId="0930A807"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4E24B18" w14:textId="77777777" w:rsidTr="00087D12">
        <w:tc>
          <w:tcPr>
            <w:tcW w:w="1823" w:type="dxa"/>
            <w:vMerge/>
            <w:shd w:val="clear" w:color="auto" w:fill="F7CAAC" w:themeFill="accent2" w:themeFillTint="66"/>
            <w:vAlign w:val="center"/>
          </w:tcPr>
          <w:p w14:paraId="03F12A3F"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5EE6191"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3521D7BC" w14:textId="77777777" w:rsidR="00BA4BB9" w:rsidRPr="00CF4E4D" w:rsidRDefault="00BA4BB9" w:rsidP="00BA4BB9">
            <w:pPr>
              <w:spacing w:after="0" w:line="240" w:lineRule="auto"/>
              <w:jc w:val="center"/>
              <w:rPr>
                <w:rFonts w:ascii="Times New Roman" w:hAnsi="Times New Roman"/>
                <w:sz w:val="24"/>
                <w:szCs w:val="24"/>
              </w:rPr>
            </w:pPr>
          </w:p>
        </w:tc>
        <w:tc>
          <w:tcPr>
            <w:tcW w:w="5850" w:type="dxa"/>
          </w:tcPr>
          <w:p w14:paraId="05DFBB96"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3D0F7402"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E1CD0C4" w14:textId="77777777" w:rsidTr="00087D12">
        <w:tc>
          <w:tcPr>
            <w:tcW w:w="1823" w:type="dxa"/>
            <w:vMerge/>
            <w:shd w:val="clear" w:color="auto" w:fill="F7CAAC" w:themeFill="accent2" w:themeFillTint="66"/>
            <w:vAlign w:val="center"/>
          </w:tcPr>
          <w:p w14:paraId="077CEB87"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E6451F0"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49A8515C" w14:textId="77777777" w:rsidR="00BA4BB9" w:rsidRPr="00CF4E4D" w:rsidRDefault="00BA4BB9" w:rsidP="00BA4BB9">
            <w:pPr>
              <w:spacing w:after="0" w:line="240" w:lineRule="auto"/>
              <w:jc w:val="center"/>
              <w:rPr>
                <w:rFonts w:ascii="Times New Roman" w:hAnsi="Times New Roman"/>
                <w:sz w:val="24"/>
                <w:szCs w:val="24"/>
              </w:rPr>
            </w:pPr>
          </w:p>
        </w:tc>
        <w:tc>
          <w:tcPr>
            <w:tcW w:w="5850" w:type="dxa"/>
          </w:tcPr>
          <w:p w14:paraId="16C268B8"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15B21701" w:rsidR="00BA4BB9" w:rsidRPr="00BA4BB9"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14:paraId="6DE82329"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7D99BE0C"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AA3D2A5" w14:textId="2AAACE77" w:rsidTr="00087D12">
        <w:tc>
          <w:tcPr>
            <w:tcW w:w="1823" w:type="dxa"/>
            <w:vMerge/>
            <w:shd w:val="clear" w:color="auto" w:fill="F7CAAC" w:themeFill="accent2" w:themeFillTint="66"/>
            <w:vAlign w:val="center"/>
          </w:tcPr>
          <w:p w14:paraId="31245395"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BA4BB9" w:rsidRPr="00647D5A" w:rsidRDefault="00BA4BB9"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14:paraId="5E1F488A"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797A5F8A" w14:textId="77777777"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14:paraId="4B3DBF31" w14:textId="77777777"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14:paraId="511398BD" w14:textId="77777777"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14:paraId="3A130328" w14:textId="77D76CE3" w:rsidR="00BA4BB9" w:rsidRPr="00BD2C5C"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tc>
        <w:tc>
          <w:tcPr>
            <w:tcW w:w="2758" w:type="dxa"/>
            <w:tcBorders>
              <w:bottom w:val="single" w:sz="4" w:space="0" w:color="auto"/>
            </w:tcBorders>
          </w:tcPr>
          <w:p w14:paraId="066CE542" w14:textId="494D5511"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37B35BDE" w14:textId="77777777" w:rsidTr="00087D12">
        <w:tc>
          <w:tcPr>
            <w:tcW w:w="1823" w:type="dxa"/>
            <w:vMerge/>
            <w:shd w:val="clear" w:color="auto" w:fill="F7CAAC" w:themeFill="accent2" w:themeFillTint="66"/>
            <w:vAlign w:val="center"/>
          </w:tcPr>
          <w:p w14:paraId="68984CEE"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ign w:val="center"/>
          </w:tcPr>
          <w:p w14:paraId="35CC2612"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Pr>
          <w:p w14:paraId="73DD51AF" w14:textId="77777777"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14:paraId="644D2F09"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BA4BB9" w:rsidRPr="00BD2C5C"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Consider the criteria defined for the level of assurance of the generic remote crew training OSO (i.e. OSO #09, </w:t>
            </w:r>
            <w:r w:rsidRPr="00BA4BB9">
              <w:rPr>
                <w:rFonts w:ascii="Times New Roman" w:hAnsi="Times New Roman"/>
                <w:sz w:val="24"/>
                <w:szCs w:val="24"/>
              </w:rPr>
              <w:lastRenderedPageBreak/>
              <w:t>OSO #15 and OSO #22) corresponding to the SAIL of the operation</w:t>
            </w:r>
          </w:p>
        </w:tc>
        <w:tc>
          <w:tcPr>
            <w:tcW w:w="2758" w:type="dxa"/>
            <w:tcBorders>
              <w:bottom w:val="single" w:sz="4" w:space="0" w:color="auto"/>
            </w:tcBorders>
          </w:tcPr>
          <w:p w14:paraId="15D124DF"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2ADB7B52" w14:textId="77777777" w:rsidTr="00087D12">
        <w:tc>
          <w:tcPr>
            <w:tcW w:w="1823" w:type="dxa"/>
            <w:vMerge/>
            <w:shd w:val="clear" w:color="auto" w:fill="F7CAAC" w:themeFill="accent2" w:themeFillTint="66"/>
            <w:vAlign w:val="center"/>
          </w:tcPr>
          <w:p w14:paraId="14613D18"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14:paraId="7F85AA25"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1003DD8F" w14:textId="77777777" w:rsidR="004B14E8"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The applicant has supporting evidence that the required level of integrity is achieved. That evidence is provided through testing, analysis, simulation</w:t>
            </w:r>
            <w:r w:rsidRPr="006850F7">
              <w:rPr>
                <w:rFonts w:ascii="Times New Roman" w:hAnsi="Times New Roman"/>
                <w:sz w:val="24"/>
                <w:szCs w:val="24"/>
                <w:vertAlign w:val="superscript"/>
              </w:rPr>
              <w:t>2</w:t>
            </w:r>
            <w:r w:rsidRPr="006850F7">
              <w:rPr>
                <w:rFonts w:ascii="Times New Roman" w:hAnsi="Times New Roman"/>
                <w:sz w:val="24"/>
                <w:szCs w:val="24"/>
              </w:rPr>
              <w:t xml:space="preserve">, inspection, design review or operational experience. </w:t>
            </w:r>
          </w:p>
          <w:p w14:paraId="5716E18E" w14:textId="3A84B440" w:rsidR="006850F7"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 xml:space="preserve">If the operation is classified as SAIL V, EASA validates the claimed integrity. In all other cases, the competent authority may request EASA to validate the claimed integrity. </w:t>
            </w:r>
          </w:p>
          <w:p w14:paraId="0609E659" w14:textId="44E9CA75" w:rsidR="00BA4BB9" w:rsidRPr="00BA4BB9" w:rsidRDefault="006850F7" w:rsidP="00BA4BB9">
            <w:pPr>
              <w:spacing w:after="0" w:line="240" w:lineRule="auto"/>
              <w:jc w:val="left"/>
              <w:rPr>
                <w:rFonts w:ascii="Times New Roman" w:hAnsi="Times New Roman"/>
                <w:i/>
                <w:iCs/>
                <w:sz w:val="18"/>
                <w:szCs w:val="18"/>
              </w:rPr>
            </w:pPr>
            <w:r>
              <w:rPr>
                <w:rFonts w:ascii="Times New Roman" w:hAnsi="Times New Roman"/>
                <w:i/>
                <w:iCs/>
                <w:sz w:val="18"/>
                <w:szCs w:val="18"/>
              </w:rPr>
              <w:t>2</w:t>
            </w:r>
            <w:r w:rsidR="00BA4BB9" w:rsidRPr="00BA4BB9">
              <w:rPr>
                <w:rFonts w:ascii="Times New Roman" w:hAnsi="Times New Roman"/>
                <w:i/>
                <w:iCs/>
                <w:sz w:val="18"/>
                <w:szCs w:val="18"/>
              </w:rPr>
              <w:t xml:space="preserve"> </w:t>
            </w:r>
            <w:r w:rsidRPr="006850F7">
              <w:rPr>
                <w:rFonts w:ascii="Times New Roman" w:hAnsi="Times New Roman"/>
                <w:i/>
                <w:iCs/>
                <w:sz w:val="18"/>
                <w:szCs w:val="18"/>
              </w:rPr>
              <w:t>When simulation is performed, the validity of the targeted environment that is used in the simulation needs to be justified</w:t>
            </w:r>
            <w:r w:rsidR="00BA4BB9" w:rsidRPr="00BA4BB9">
              <w:rPr>
                <w:rFonts w:ascii="Times New Roman" w:hAnsi="Times New Roman"/>
                <w:i/>
                <w:iCs/>
                <w:sz w:val="18"/>
                <w:szCs w:val="18"/>
              </w:rPr>
              <w:t>.</w:t>
            </w:r>
          </w:p>
        </w:tc>
        <w:tc>
          <w:tcPr>
            <w:tcW w:w="2758" w:type="dxa"/>
            <w:tcBorders>
              <w:bottom w:val="single" w:sz="4" w:space="0" w:color="auto"/>
            </w:tcBorders>
          </w:tcPr>
          <w:p w14:paraId="44D68FA4"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BA4BB9" w:rsidRPr="00BD2C5C" w:rsidRDefault="00BA4BB9" w:rsidP="002C157C">
            <w:pPr>
              <w:spacing w:after="0" w:line="240" w:lineRule="auto"/>
              <w:rPr>
                <w:rFonts w:ascii="Times New Roman" w:hAnsi="Times New Roman"/>
                <w:sz w:val="24"/>
                <w:szCs w:val="24"/>
              </w:rPr>
            </w:pPr>
          </w:p>
        </w:tc>
      </w:tr>
      <w:tr w:rsidR="00BD0C0C" w:rsidRPr="00BD2C5C" w14:paraId="42950848" w14:textId="4BF9DC65" w:rsidTr="00087D12">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3903973B" w:rsidR="00BD0C0C" w:rsidRPr="00BD2C5C" w:rsidRDefault="006850F7"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shd w:val="clear" w:color="auto" w:fill="FBE4D5" w:themeFill="accent2" w:themeFillTint="33"/>
          </w:tcPr>
          <w:p w14:paraId="082A1C05" w14:textId="77777777" w:rsidR="00BD0C0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5A18DA" w:rsidRPr="005A18DA" w:rsidRDefault="005A18DA" w:rsidP="00BA4BB9">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5A18DA"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087D12">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6A321CF3" w14:textId="77777777" w:rsidR="006850F7" w:rsidRDefault="005A18DA" w:rsidP="006850F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006850F7" w:rsidRPr="006850F7">
              <w:rPr>
                <w:rFonts w:ascii="Times New Roman" w:hAnsi="Times New Roman"/>
                <w:sz w:val="24"/>
                <w:szCs w:val="24"/>
              </w:rPr>
              <w:t>on demonstrations or simulations.</w:t>
            </w:r>
            <w:r w:rsidR="006850F7" w:rsidRPr="006850F7">
              <w:rPr>
                <w:rFonts w:ascii="Times New Roman" w:hAnsi="Times New Roman"/>
                <w:sz w:val="24"/>
                <w:szCs w:val="24"/>
                <w:vertAlign w:val="superscript"/>
              </w:rPr>
              <w:t>1</w:t>
            </w:r>
            <w:r w:rsidR="006850F7" w:rsidRPr="006850F7">
              <w:rPr>
                <w:rFonts w:ascii="Times New Roman" w:hAnsi="Times New Roman"/>
                <w:sz w:val="24"/>
                <w:szCs w:val="24"/>
              </w:rPr>
              <w:t xml:space="preserve"> If the operation is classified as SAIL V, EASA witnesses the HMI evaluation of the UAS. In all other cases, the competent authority may request EASA to witness the HMI evaluation of the UAS.</w:t>
            </w:r>
          </w:p>
          <w:p w14:paraId="4A4AB872" w14:textId="12568525" w:rsidR="006850F7" w:rsidRPr="006850F7" w:rsidRDefault="006850F7" w:rsidP="006850F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14:paraId="2F92D4AB" w14:textId="13621D0A"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087D12">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lastRenderedPageBreak/>
              <w:t>OSO #23 Environmental conditions for safe operations are defined, 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09974F8E" w:rsidR="00BD0C0C" w:rsidRPr="00BD2C5C" w:rsidRDefault="00BA4BB9"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tcPr>
          <w:p w14:paraId="4140F06F"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087D12">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850" w:type="dxa"/>
          </w:tcPr>
          <w:p w14:paraId="7B724EBC"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087D12">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850" w:type="dxa"/>
          </w:tcPr>
          <w:p w14:paraId="42C1EFD9"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087D12">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850" w:type="dxa"/>
          </w:tcPr>
          <w:p w14:paraId="225C647E"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59669493" w14:textId="77777777" w:rsidR="004B14E8"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xml:space="preserve">, inspection, design review or through operational experience. </w:t>
            </w:r>
          </w:p>
          <w:p w14:paraId="1E876B1C" w14:textId="7F577669" w:rsidR="00BD0C0C"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competent authority may request EASA to validate the claimed integrity.</w:t>
            </w:r>
          </w:p>
          <w:p w14:paraId="4D880B7E" w14:textId="2B70AD20" w:rsidR="00AA726A" w:rsidRPr="00AA726A" w:rsidRDefault="00AA726A" w:rsidP="00BA4BB9">
            <w:pPr>
              <w:spacing w:after="0" w:line="240" w:lineRule="auto"/>
              <w:jc w:val="left"/>
              <w:rPr>
                <w:rFonts w:ascii="Times New Roman" w:hAnsi="Times New Roman"/>
                <w:i/>
                <w:iCs/>
                <w:sz w:val="18"/>
                <w:szCs w:val="18"/>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087D12">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850" w:type="dxa"/>
          </w:tcPr>
          <w:p w14:paraId="43353518"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BA4BB9" w:rsidRDefault="00BD0C0C" w:rsidP="00BA4BB9">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00BA4BB9"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14:paraId="7A92F3BC" w14:textId="7A5DB08C" w:rsidR="00BD0C0C"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087D12">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850"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64CF7748" w14:textId="3417F518" w:rsidR="00BA4BB9"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Training syllabus is available. </w:t>
            </w:r>
          </w:p>
          <w:p w14:paraId="7D8699E0" w14:textId="062004B0" w:rsidR="00BD0C0C" w:rsidRPr="00BD2C5C"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UAS operator provides competency-based, theoretical and practical training.</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087D12">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lastRenderedPageBreak/>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19CF6A7C" w:rsidR="00BD0C0C" w:rsidRPr="00BD2C5C" w:rsidRDefault="006850F7" w:rsidP="00603613">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FBE4D5" w:themeFill="accent2" w:themeFillTint="33"/>
          </w:tcPr>
          <w:p w14:paraId="64993CBD" w14:textId="6CC6A8D1" w:rsidR="00BD0C0C" w:rsidRPr="00BD2C5C" w:rsidRDefault="006850F7" w:rsidP="00603613">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14:paraId="65BBFBCB" w14:textId="5CAB7595"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087D12">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850" w:type="dxa"/>
            <w:shd w:val="clear" w:color="auto" w:fill="FBE4D5" w:themeFill="accent2" w:themeFillTint="33"/>
          </w:tcPr>
          <w:p w14:paraId="6D9E1928" w14:textId="77777777" w:rsidR="00AA726A" w:rsidRDefault="00AA726A" w:rsidP="00AA726A">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5DB8ED47" w14:textId="62B01B73" w:rsidR="006850F7" w:rsidRPr="00BD2C5C" w:rsidRDefault="006850F7" w:rsidP="00AA726A">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A73A3BF" w14:textId="54D1F8CE"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982474" w:rsidRPr="00087D12" w14:paraId="2D18442A" w14:textId="77777777" w:rsidTr="00087D12">
        <w:tc>
          <w:tcPr>
            <w:tcW w:w="15451" w:type="dxa"/>
            <w:shd w:val="clear" w:color="auto" w:fill="D9D9D9" w:themeFill="background1" w:themeFillShade="D9"/>
          </w:tcPr>
          <w:p w14:paraId="12143A96" w14:textId="5DAD914F" w:rsidR="00982474" w:rsidRPr="00087D12" w:rsidRDefault="00982474" w:rsidP="004D6D23">
            <w:pPr>
              <w:spacing w:after="0" w:line="240" w:lineRule="auto"/>
              <w:rPr>
                <w:rFonts w:ascii="Times New Roman" w:eastAsia="Calibri" w:hAnsi="Times New Roman"/>
                <w:sz w:val="24"/>
                <w:szCs w:val="24"/>
                <w:lang w:val="bg-BG" w:eastAsia="bg-BG"/>
              </w:rPr>
            </w:pPr>
            <w:r w:rsidRPr="00087D12">
              <w:rPr>
                <w:rFonts w:ascii="Times New Roman" w:eastAsia="Calibri" w:hAnsi="Times New Roman"/>
                <w:sz w:val="24"/>
                <w:szCs w:val="24"/>
                <w:lang w:val="bg-BG" w:eastAsia="bg-BG"/>
              </w:rPr>
              <w:t xml:space="preserve">Обобщение на констатациите:                                                                                                                                        </w:t>
            </w:r>
            <w:r w:rsidRPr="00087D12">
              <w:rPr>
                <w:rFonts w:ascii="Times New Roman" w:eastAsia="Calibri" w:hAnsi="Times New Roman"/>
                <w:i/>
                <w:sz w:val="24"/>
                <w:szCs w:val="24"/>
                <w:lang w:val="bg-BG" w:eastAsia="bg-BG"/>
              </w:rPr>
              <w:t>Попълва се от ГД ГВА</w:t>
            </w:r>
          </w:p>
        </w:tc>
      </w:tr>
      <w:tr w:rsidR="00982474" w:rsidRPr="00087D12" w14:paraId="610C6CD4" w14:textId="77777777" w:rsidTr="00087D12">
        <w:tc>
          <w:tcPr>
            <w:tcW w:w="15451" w:type="dxa"/>
            <w:shd w:val="clear" w:color="auto" w:fill="auto"/>
          </w:tcPr>
          <w:p w14:paraId="16FBD787" w14:textId="77777777" w:rsidR="00982474" w:rsidRPr="00087D12"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087D12"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087D12"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087D12" w:rsidRDefault="00982474" w:rsidP="00982474">
      <w:pPr>
        <w:spacing w:after="0" w:line="240" w:lineRule="auto"/>
        <w:rPr>
          <w:sz w:val="24"/>
          <w:szCs w:val="24"/>
          <w:lang w:val="bg-BG"/>
        </w:rPr>
      </w:pPr>
    </w:p>
    <w:p w14:paraId="0F8CD01E" w14:textId="77777777" w:rsidR="00982474" w:rsidRPr="00087D12" w:rsidRDefault="00982474" w:rsidP="00982474">
      <w:pPr>
        <w:spacing w:after="0" w:line="240" w:lineRule="auto"/>
        <w:rPr>
          <w:sz w:val="24"/>
          <w:szCs w:val="24"/>
          <w:lang w:val="bg-BG"/>
        </w:rPr>
      </w:pPr>
    </w:p>
    <w:p w14:paraId="2818C872" w14:textId="77777777" w:rsidR="00982474" w:rsidRPr="00087D12" w:rsidRDefault="00982474" w:rsidP="00982474">
      <w:pPr>
        <w:spacing w:after="0" w:line="240" w:lineRule="auto"/>
        <w:rPr>
          <w:sz w:val="24"/>
          <w:szCs w:val="24"/>
          <w:lang w:val="bg-BG"/>
        </w:rPr>
      </w:pPr>
    </w:p>
    <w:p w14:paraId="59CE8412" w14:textId="77777777" w:rsidR="00982474" w:rsidRPr="00087D12" w:rsidRDefault="00982474" w:rsidP="00982474">
      <w:pPr>
        <w:spacing w:after="0" w:line="240" w:lineRule="auto"/>
        <w:rPr>
          <w:sz w:val="24"/>
          <w:szCs w:val="24"/>
          <w:lang w:val="bg-BG"/>
        </w:rPr>
      </w:pPr>
    </w:p>
    <w:tbl>
      <w:tblPr>
        <w:tblW w:w="15684" w:type="dxa"/>
        <w:tblInd w:w="-567" w:type="dxa"/>
        <w:tblLayout w:type="fixed"/>
        <w:tblCellMar>
          <w:left w:w="70" w:type="dxa"/>
          <w:right w:w="70" w:type="dxa"/>
        </w:tblCellMar>
        <w:tblLook w:val="0000" w:firstRow="0" w:lastRow="0" w:firstColumn="0" w:lastColumn="0" w:noHBand="0" w:noVBand="0"/>
      </w:tblPr>
      <w:tblGrid>
        <w:gridCol w:w="4820"/>
        <w:gridCol w:w="4147"/>
        <w:gridCol w:w="820"/>
        <w:gridCol w:w="5897"/>
      </w:tblGrid>
      <w:tr w:rsidR="00982474" w:rsidRPr="00087D12" w14:paraId="219CD022" w14:textId="77777777" w:rsidTr="00087D12">
        <w:trPr>
          <w:trHeight w:val="367"/>
        </w:trPr>
        <w:tc>
          <w:tcPr>
            <w:tcW w:w="4820" w:type="dxa"/>
            <w:tcBorders>
              <w:top w:val="nil"/>
              <w:bottom w:val="nil"/>
              <w:right w:val="nil"/>
            </w:tcBorders>
            <w:vAlign w:val="center"/>
          </w:tcPr>
          <w:p w14:paraId="62AD8B64"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0964CBAE" w:rsidR="00982474" w:rsidRPr="0061248B" w:rsidRDefault="00982474" w:rsidP="004D6D23">
            <w:pPr>
              <w:spacing w:after="0" w:line="240" w:lineRule="auto"/>
              <w:rPr>
                <w:rFonts w:ascii="Times New Roman" w:hAnsi="Times New Roman"/>
                <w:sz w:val="24"/>
                <w:szCs w:val="24"/>
                <w:lang w:val="en-US"/>
              </w:rPr>
            </w:pPr>
            <w:r w:rsidRPr="00087D12">
              <w:rPr>
                <w:rFonts w:ascii="Times New Roman" w:hAnsi="Times New Roman"/>
                <w:sz w:val="24"/>
                <w:szCs w:val="24"/>
                <w:lang w:val="bg-BG"/>
              </w:rPr>
              <w:t>Проверено от ГД</w:t>
            </w:r>
            <w:r w:rsidR="0061248B">
              <w:rPr>
                <w:rFonts w:ascii="Times New Roman" w:hAnsi="Times New Roman"/>
                <w:sz w:val="24"/>
                <w:szCs w:val="24"/>
                <w:lang w:val="en-US"/>
              </w:rPr>
              <w:t xml:space="preserve"> </w:t>
            </w:r>
            <w:r w:rsidRPr="00087D12">
              <w:rPr>
                <w:rFonts w:ascii="Times New Roman" w:hAnsi="Times New Roman"/>
                <w:sz w:val="24"/>
                <w:szCs w:val="24"/>
                <w:lang w:val="bg-BG"/>
              </w:rPr>
              <w:t>ГВА</w:t>
            </w:r>
            <w:r w:rsidR="0061248B">
              <w:rPr>
                <w:rFonts w:ascii="Times New Roman" w:hAnsi="Times New Roman"/>
                <w:sz w:val="24"/>
                <w:szCs w:val="24"/>
                <w:lang w:val="en-US"/>
              </w:rPr>
              <w:t xml:space="preserve"> </w:t>
            </w:r>
          </w:p>
        </w:tc>
      </w:tr>
      <w:tr w:rsidR="00982474" w:rsidRPr="00087D12" w14:paraId="5E33E5CB" w14:textId="77777777" w:rsidTr="00087D12">
        <w:trPr>
          <w:trHeight w:val="391"/>
        </w:trPr>
        <w:tc>
          <w:tcPr>
            <w:tcW w:w="4820" w:type="dxa"/>
            <w:tcBorders>
              <w:top w:val="nil"/>
              <w:bottom w:val="nil"/>
              <w:right w:val="nil"/>
            </w:tcBorders>
            <w:noWrap/>
            <w:vAlign w:val="center"/>
          </w:tcPr>
          <w:p w14:paraId="17E9760E"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Име (инспектор):</w:t>
            </w:r>
          </w:p>
        </w:tc>
      </w:tr>
      <w:tr w:rsidR="00982474" w:rsidRPr="00087D12" w14:paraId="704859BD" w14:textId="77777777" w:rsidTr="00087D12">
        <w:trPr>
          <w:trHeight w:val="367"/>
        </w:trPr>
        <w:tc>
          <w:tcPr>
            <w:tcW w:w="4820" w:type="dxa"/>
            <w:tcBorders>
              <w:bottom w:val="nil"/>
            </w:tcBorders>
            <w:vAlign w:val="center"/>
          </w:tcPr>
          <w:p w14:paraId="08038B6B" w14:textId="77777777" w:rsidR="00982474" w:rsidRPr="00087D12" w:rsidRDefault="00982474" w:rsidP="00087D12">
            <w:pPr>
              <w:spacing w:after="0" w:line="240" w:lineRule="auto"/>
              <w:ind w:left="67" w:hanging="67"/>
              <w:rPr>
                <w:rFonts w:ascii="Times New Roman" w:hAnsi="Times New Roman"/>
                <w:sz w:val="24"/>
                <w:szCs w:val="24"/>
                <w:lang w:val="bg-BG"/>
              </w:rPr>
            </w:pPr>
            <w:r w:rsidRPr="00087D12">
              <w:rPr>
                <w:rFonts w:ascii="Times New Roman" w:hAnsi="Times New Roman"/>
                <w:sz w:val="24"/>
                <w:szCs w:val="24"/>
                <w:lang w:val="bg-BG"/>
              </w:rPr>
              <w:t>Подпис:</w:t>
            </w:r>
          </w:p>
        </w:tc>
        <w:tc>
          <w:tcPr>
            <w:tcW w:w="4147" w:type="dxa"/>
            <w:tcBorders>
              <w:bottom w:val="nil"/>
            </w:tcBorders>
            <w:vAlign w:val="center"/>
          </w:tcPr>
          <w:p w14:paraId="0B084637"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Подпис:</w:t>
            </w:r>
          </w:p>
        </w:tc>
      </w:tr>
      <w:tr w:rsidR="00982474" w:rsidRPr="00087D12" w14:paraId="05DA5816" w14:textId="77777777" w:rsidTr="00087D12">
        <w:trPr>
          <w:trHeight w:val="391"/>
        </w:trPr>
        <w:tc>
          <w:tcPr>
            <w:tcW w:w="4820" w:type="dxa"/>
            <w:tcBorders>
              <w:top w:val="nil"/>
              <w:bottom w:val="nil"/>
              <w:right w:val="nil"/>
            </w:tcBorders>
            <w:vAlign w:val="center"/>
          </w:tcPr>
          <w:p w14:paraId="22A78DDD"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035003">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17" w:bottom="56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AC08" w14:textId="77777777" w:rsidR="00035003" w:rsidRDefault="00035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4E3" w14:textId="5C0575D1" w:rsidR="00035003" w:rsidRDefault="0003500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4.04</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3DD4" w14:textId="2E9BB098" w:rsidR="00035003" w:rsidRDefault="0003500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4.04</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77D8" w14:textId="77777777" w:rsidR="00035003" w:rsidRDefault="0003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748B" w14:textId="77777777" w:rsidR="00035003" w:rsidRDefault="00035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jc w:val="center"/>
      <w:tblCellMar>
        <w:left w:w="0" w:type="dxa"/>
        <w:right w:w="0" w:type="dxa"/>
      </w:tblCellMar>
      <w:tblLook w:val="01E0" w:firstRow="1" w:lastRow="1" w:firstColumn="1" w:lastColumn="1" w:noHBand="0" w:noVBand="0"/>
    </w:tblPr>
    <w:tblGrid>
      <w:gridCol w:w="2670"/>
      <w:gridCol w:w="11931"/>
    </w:tblGrid>
    <w:tr w:rsidR="0071535B" w:rsidRPr="0071535B" w14:paraId="15404759" w14:textId="77777777" w:rsidTr="00292976">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931" w:type="dxa"/>
          <w:shd w:val="clear" w:color="auto" w:fill="auto"/>
          <w:vAlign w:val="center"/>
        </w:tcPr>
        <w:p w14:paraId="18D20DAB" w14:textId="77777777" w:rsidR="00292976" w:rsidRPr="00292976" w:rsidRDefault="00292976" w:rsidP="00292976">
          <w:pPr>
            <w:spacing w:after="0" w:line="240" w:lineRule="auto"/>
            <w:jc w:val="center"/>
            <w:rPr>
              <w:rFonts w:ascii="Times New Roman" w:hAnsi="Times New Roman"/>
              <w:b/>
              <w:sz w:val="32"/>
              <w:szCs w:val="32"/>
              <w:lang w:val="bg-BG"/>
            </w:rPr>
          </w:pPr>
          <w:r w:rsidRPr="00292976">
            <w:rPr>
              <w:rFonts w:ascii="Times New Roman" w:hAnsi="Times New Roman"/>
              <w:b/>
              <w:sz w:val="32"/>
              <w:szCs w:val="32"/>
              <w:lang w:val="bg-BG"/>
            </w:rPr>
            <w:t>Досие за съответствие с оценката на експлоатационния риск (SORA) SAIL IV/</w:t>
          </w:r>
        </w:p>
        <w:p w14:paraId="566C5686" w14:textId="4D631883" w:rsidR="0071535B" w:rsidRPr="0071535B" w:rsidRDefault="00292976" w:rsidP="00292976">
          <w:pPr>
            <w:spacing w:after="0" w:line="240" w:lineRule="auto"/>
            <w:jc w:val="center"/>
            <w:rPr>
              <w:rFonts w:ascii="Arial Narrow" w:hAnsi="Arial Narrow"/>
              <w:b/>
              <w:i/>
              <w:sz w:val="32"/>
              <w:szCs w:val="32"/>
              <w:lang w:val="bg-BG"/>
            </w:rPr>
          </w:pPr>
          <w:r w:rsidRPr="00292976">
            <w:rPr>
              <w:rFonts w:ascii="Times New Roman" w:hAnsi="Times New Roman"/>
              <w:b/>
              <w:sz w:val="32"/>
              <w:szCs w:val="32"/>
              <w:lang w:val="bg-BG"/>
            </w:rPr>
            <w:t>Compliance evidence file SAIL IV</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35003"/>
    <w:rsid w:val="00053AF2"/>
    <w:rsid w:val="00053BC0"/>
    <w:rsid w:val="00054024"/>
    <w:rsid w:val="000560B4"/>
    <w:rsid w:val="000743CA"/>
    <w:rsid w:val="000818CE"/>
    <w:rsid w:val="00083ABE"/>
    <w:rsid w:val="00087D12"/>
    <w:rsid w:val="00087E6B"/>
    <w:rsid w:val="000F5041"/>
    <w:rsid w:val="001046F3"/>
    <w:rsid w:val="00107FE4"/>
    <w:rsid w:val="00127858"/>
    <w:rsid w:val="00151EE8"/>
    <w:rsid w:val="00157EBB"/>
    <w:rsid w:val="001A4962"/>
    <w:rsid w:val="001C09CD"/>
    <w:rsid w:val="001D772F"/>
    <w:rsid w:val="001E0D59"/>
    <w:rsid w:val="0020728A"/>
    <w:rsid w:val="0021122F"/>
    <w:rsid w:val="00212979"/>
    <w:rsid w:val="00292976"/>
    <w:rsid w:val="002C157C"/>
    <w:rsid w:val="002E250C"/>
    <w:rsid w:val="002F7B50"/>
    <w:rsid w:val="00314F50"/>
    <w:rsid w:val="00325C75"/>
    <w:rsid w:val="0037252B"/>
    <w:rsid w:val="00385EFE"/>
    <w:rsid w:val="0039341B"/>
    <w:rsid w:val="00394975"/>
    <w:rsid w:val="003A7F2A"/>
    <w:rsid w:val="003E0459"/>
    <w:rsid w:val="004B14E8"/>
    <w:rsid w:val="004B2F20"/>
    <w:rsid w:val="004F1E2C"/>
    <w:rsid w:val="0053083F"/>
    <w:rsid w:val="00594323"/>
    <w:rsid w:val="005A18DA"/>
    <w:rsid w:val="00603613"/>
    <w:rsid w:val="0061248B"/>
    <w:rsid w:val="00616B7D"/>
    <w:rsid w:val="00630814"/>
    <w:rsid w:val="00647D5A"/>
    <w:rsid w:val="00671B00"/>
    <w:rsid w:val="006850F7"/>
    <w:rsid w:val="006F3871"/>
    <w:rsid w:val="007106D3"/>
    <w:rsid w:val="0071535B"/>
    <w:rsid w:val="007216AF"/>
    <w:rsid w:val="007639A4"/>
    <w:rsid w:val="007C73A6"/>
    <w:rsid w:val="00883505"/>
    <w:rsid w:val="008F7508"/>
    <w:rsid w:val="00945953"/>
    <w:rsid w:val="0096634F"/>
    <w:rsid w:val="00982474"/>
    <w:rsid w:val="009C755E"/>
    <w:rsid w:val="00A14685"/>
    <w:rsid w:val="00A45579"/>
    <w:rsid w:val="00A5353A"/>
    <w:rsid w:val="00AA726A"/>
    <w:rsid w:val="00AD5D81"/>
    <w:rsid w:val="00AD6177"/>
    <w:rsid w:val="00AF4383"/>
    <w:rsid w:val="00B3101E"/>
    <w:rsid w:val="00BA4BB9"/>
    <w:rsid w:val="00BB532C"/>
    <w:rsid w:val="00BD0C0C"/>
    <w:rsid w:val="00BD2C5C"/>
    <w:rsid w:val="00BD5F4C"/>
    <w:rsid w:val="00BE546D"/>
    <w:rsid w:val="00C13088"/>
    <w:rsid w:val="00C4476E"/>
    <w:rsid w:val="00CA6550"/>
    <w:rsid w:val="00CC5741"/>
    <w:rsid w:val="00CC6360"/>
    <w:rsid w:val="00D434E6"/>
    <w:rsid w:val="00DC6F6B"/>
    <w:rsid w:val="00DE3966"/>
    <w:rsid w:val="00DF3D77"/>
    <w:rsid w:val="00EA4E64"/>
    <w:rsid w:val="00EB1910"/>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A"/>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ABF2-6748-4BDA-B6E0-6669C47D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19</cp:revision>
  <dcterms:created xsi:type="dcterms:W3CDTF">2021-10-04T12:30:00Z</dcterms:created>
  <dcterms:modified xsi:type="dcterms:W3CDTF">2021-10-08T13:19:00Z</dcterms:modified>
</cp:coreProperties>
</file>