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0201E5">
        <w:rPr>
          <w:rFonts w:ascii="Times New Roman" w:eastAsiaTheme="minorHAnsi" w:hAnsi="Times New Roman"/>
          <w:b/>
          <w:bCs/>
          <w:sz w:val="20"/>
          <w:szCs w:val="20"/>
          <w:lang w:val="en-US"/>
        </w:rPr>
        <w:t>.2</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786C6F"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rsidR="00786C6F" w:rsidRDefault="00786C6F" w:rsidP="00786C6F">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F67763" w:rsidRPr="00F67763">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rsidR="00786C6F" w:rsidRPr="00053BC0"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786C6F" w:rsidRDefault="00786C6F" w:rsidP="00786C6F">
      <w:pPr>
        <w:spacing w:before="120" w:after="120" w:line="240" w:lineRule="auto"/>
        <w:rPr>
          <w:rFonts w:ascii="Times New Roman" w:hAnsi="Times New Roman"/>
          <w:sz w:val="20"/>
          <w:szCs w:val="20"/>
          <w:lang w:val="bg-BG"/>
        </w:rPr>
      </w:pPr>
    </w:p>
    <w:p w:rsidR="00786C6F" w:rsidRPr="00EA4E64"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rsidR="00786C6F" w:rsidRPr="00B73DBF" w:rsidRDefault="00786C6F" w:rsidP="00786C6F">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786C6F" w:rsidRPr="00EA4E64" w:rsidRDefault="00786C6F" w:rsidP="00786C6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8D61B1" w:rsidRPr="001A38AF">
        <w:rPr>
          <w:rFonts w:ascii="Times New Roman" w:hAnsi="Times New Roman"/>
          <w:i/>
          <w:iCs/>
          <w:sz w:val="20"/>
          <w:szCs w:val="20"/>
          <w:lang w:val="en-US"/>
        </w:rPr>
        <w:t>Low</w:t>
      </w:r>
      <w:r w:rsidR="008D61B1">
        <w:rPr>
          <w:rFonts w:ascii="Times New Roman" w:hAnsi="Times New Roman"/>
          <w:i/>
          <w:iCs/>
          <w:sz w:val="20"/>
          <w:szCs w:val="20"/>
          <w:lang w:val="en-US"/>
        </w:rPr>
        <w:t xml:space="preserve"> </w:t>
      </w:r>
      <w:r w:rsidR="008D61B1" w:rsidRPr="001A38AF">
        <w:rPr>
          <w:rFonts w:ascii="Times New Roman" w:hAnsi="Times New Roman"/>
          <w:i/>
          <w:iCs/>
          <w:sz w:val="20"/>
          <w:szCs w:val="20"/>
          <w:lang w:val="en-US"/>
        </w:rPr>
        <w:t>(ARC-b)</w:t>
      </w:r>
      <w:r w:rsidR="008D61B1">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rsidR="00786C6F" w:rsidRDefault="00786C6F" w:rsidP="00786C6F">
      <w:pPr>
        <w:spacing w:before="120" w:after="120" w:line="240" w:lineRule="auto"/>
        <w:rPr>
          <w:rFonts w:ascii="Times New Roman" w:hAnsi="Times New Roman"/>
          <w:sz w:val="20"/>
          <w:szCs w:val="20"/>
          <w:lang w:val="bg-BG"/>
        </w:rPr>
      </w:pPr>
    </w:p>
    <w:p w:rsidR="00786C6F" w:rsidRDefault="00786C6F" w:rsidP="00786C6F">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rsidR="00786C6F" w:rsidRPr="00053AF2" w:rsidRDefault="00786C6F" w:rsidP="00786C6F">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rsidR="00786C6F" w:rsidRPr="00325C75"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09125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091255">
        <w:rPr>
          <w:rFonts w:ascii="Times New Roman" w:hAnsi="Times New Roman"/>
          <w:b/>
          <w:bCs/>
          <w:sz w:val="24"/>
          <w:szCs w:val="24"/>
          <w:lang w:val="en-US"/>
        </w:rPr>
        <w:t xml:space="preserve"> </w:t>
      </w:r>
      <w:r w:rsidR="00091255" w:rsidRPr="00091255">
        <w:rPr>
          <w:rFonts w:ascii="Times New Roman" w:hAnsi="Times New Roman"/>
          <w:b/>
          <w:bCs/>
          <w:sz w:val="24"/>
          <w:szCs w:val="24"/>
          <w:lang w:val="en-US"/>
        </w:rPr>
        <w:t>(</w:t>
      </w:r>
      <w:proofErr w:type="spellStart"/>
      <w:r w:rsidR="00091255" w:rsidRPr="00091255">
        <w:rPr>
          <w:rFonts w:ascii="Times New Roman" w:hAnsi="Times New Roman"/>
          <w:b/>
          <w:bCs/>
          <w:sz w:val="24"/>
          <w:szCs w:val="24"/>
          <w:lang w:val="en-US"/>
        </w:rPr>
        <w:t>ако</w:t>
      </w:r>
      <w:proofErr w:type="spellEnd"/>
      <w:r w:rsidR="00091255" w:rsidRPr="00091255">
        <w:rPr>
          <w:rFonts w:ascii="Times New Roman" w:hAnsi="Times New Roman"/>
          <w:b/>
          <w:bCs/>
          <w:sz w:val="24"/>
          <w:szCs w:val="24"/>
          <w:lang w:val="en-US"/>
        </w:rPr>
        <w:t xml:space="preserve"> е </w:t>
      </w:r>
      <w:proofErr w:type="spellStart"/>
      <w:r w:rsidR="00091255" w:rsidRPr="00091255">
        <w:rPr>
          <w:rFonts w:ascii="Times New Roman" w:hAnsi="Times New Roman"/>
          <w:b/>
          <w:bCs/>
          <w:sz w:val="24"/>
          <w:szCs w:val="24"/>
          <w:lang w:val="en-US"/>
        </w:rPr>
        <w:t>приложимо</w:t>
      </w:r>
      <w:proofErr w:type="spellEnd"/>
      <w:r w:rsidR="00091255" w:rsidRPr="00091255">
        <w:rPr>
          <w:rFonts w:ascii="Times New Roman" w:hAnsi="Times New Roman"/>
          <w:b/>
          <w:bCs/>
          <w:sz w:val="24"/>
          <w:szCs w:val="24"/>
          <w:lang w:val="en-US"/>
        </w:rPr>
        <w:t>)</w:t>
      </w:r>
    </w:p>
    <w:tbl>
      <w:tblPr>
        <w:tblStyle w:val="TableGrid"/>
        <w:tblW w:w="14737" w:type="dxa"/>
        <w:tblLayout w:type="fixed"/>
        <w:tblCellMar>
          <w:top w:w="57" w:type="dxa"/>
          <w:bottom w:w="57"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91255">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91255">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91255">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91255">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91255">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91255">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091255">
        <w:trPr>
          <w:trHeight w:val="971"/>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91255">
        <w:trPr>
          <w:trHeight w:val="653"/>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91255">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91255">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973AD7" w:rsidRDefault="00325C75">
      <w:pPr>
        <w:spacing w:after="160" w:line="259" w:lineRule="auto"/>
        <w:jc w:val="left"/>
        <w:rPr>
          <w:rFonts w:ascii="Times New Roman" w:hAnsi="Times New Roman"/>
          <w:b/>
          <w:bCs/>
          <w:sz w:val="24"/>
          <w:szCs w:val="24"/>
          <w:lang w:val="bg-BG"/>
        </w:rPr>
      </w:pPr>
      <w:r w:rsidRPr="00973AD7">
        <w:rPr>
          <w:rFonts w:ascii="Times New Roman" w:hAnsi="Times New Roman"/>
          <w:b/>
          <w:bCs/>
          <w:sz w:val="24"/>
          <w:szCs w:val="24"/>
          <w:lang w:val="bg-BG"/>
        </w:rPr>
        <w:t xml:space="preserve">Част II </w:t>
      </w:r>
      <w:r w:rsidR="00091255" w:rsidRPr="00973AD7">
        <w:rPr>
          <w:rFonts w:ascii="Times New Roman" w:hAnsi="Times New Roman"/>
          <w:b/>
          <w:bCs/>
          <w:sz w:val="24"/>
          <w:szCs w:val="24"/>
          <w:lang w:val="bg-BG"/>
        </w:rPr>
        <w:t>Изисквания</w:t>
      </w:r>
      <w:r w:rsidR="00091255">
        <w:rPr>
          <w:rFonts w:ascii="Times New Roman" w:hAnsi="Times New Roman"/>
          <w:b/>
          <w:bCs/>
          <w:sz w:val="24"/>
          <w:szCs w:val="24"/>
          <w:lang w:val="en-US"/>
        </w:rPr>
        <w:t xml:space="preserve"> </w:t>
      </w:r>
      <w:r w:rsidRPr="00973AD7">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947A15" w:rsidRPr="00BD2C5C" w:rsidTr="00375760">
        <w:tc>
          <w:tcPr>
            <w:tcW w:w="2973" w:type="dxa"/>
            <w:gridSpan w:val="2"/>
            <w:shd w:val="clear" w:color="auto" w:fill="F4B083" w:themeFill="accent2" w:themeFillTint="99"/>
            <w:vAlign w:val="center"/>
          </w:tcPr>
          <w:p w:rsidR="00947A15" w:rsidRPr="00B3101E"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rsidR="00947A15" w:rsidRPr="00053BC0" w:rsidRDefault="00947A15"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rsidR="00947A15" w:rsidRPr="00053BC0" w:rsidRDefault="00947A15"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rsidR="00947A15" w:rsidRDefault="00947A15"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rsidR="00947A15" w:rsidRPr="00BD0C0C"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rsidR="00947A15" w:rsidRPr="00BD0C0C" w:rsidRDefault="00947A15"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947A15" w:rsidRDefault="00947A15"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947A15" w:rsidRPr="00BD2C5C" w:rsidRDefault="00947A15" w:rsidP="0037576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947A15" w:rsidRPr="00BD2C5C" w:rsidTr="00375760">
        <w:tc>
          <w:tcPr>
            <w:tcW w:w="1555" w:type="dxa"/>
            <w:vMerge w:val="restart"/>
            <w:shd w:val="clear" w:color="auto" w:fill="F7CAAC" w:themeFill="accent2" w:themeFillTint="66"/>
            <w:vAlign w:val="center"/>
          </w:tcPr>
          <w:p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947A15" w:rsidRPr="001A38AF" w:rsidRDefault="00947A15" w:rsidP="00375760">
            <w:pPr>
              <w:spacing w:after="0" w:line="240" w:lineRule="auto"/>
              <w:jc w:val="center"/>
              <w:rPr>
                <w:i/>
                <w:iCs/>
                <w:sz w:val="20"/>
                <w:szCs w:val="20"/>
                <w:lang w:val="bg-BG"/>
              </w:rPr>
            </w:pPr>
            <w:proofErr w:type="spellStart"/>
            <w:r w:rsidRPr="001A38AF">
              <w:rPr>
                <w:i/>
                <w:iCs/>
                <w:sz w:val="20"/>
                <w:szCs w:val="20"/>
                <w:lang w:val="bg-BG"/>
              </w:rPr>
              <w:t>Low</w:t>
            </w:r>
            <w:proofErr w:type="spellEnd"/>
          </w:p>
          <w:p w:rsidR="00947A15" w:rsidRPr="001A38AF" w:rsidRDefault="00947A15"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rsidR="00947A15" w:rsidRPr="001A38AF" w:rsidRDefault="00947A15"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rsidR="00947A15" w:rsidRPr="001A38AF" w:rsidRDefault="00947A15"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rsidR="00947A15" w:rsidRPr="001A38AF" w:rsidRDefault="00947A15"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w:t>
            </w:r>
            <w:proofErr w:type="spellStart"/>
            <w:r w:rsidRPr="001A38AF">
              <w:rPr>
                <w:rFonts w:ascii="Times New Roman" w:hAnsi="Times New Roman"/>
                <w:i/>
                <w:iCs/>
                <w:sz w:val="24"/>
                <w:szCs w:val="24"/>
                <w:lang w:val="bg-BG"/>
              </w:rPr>
              <w:t>space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rsidR="00947A15" w:rsidRPr="001A38AF" w:rsidRDefault="00947A15"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rsidR="00947A15" w:rsidRPr="001A38AF" w:rsidRDefault="00947A15"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rsidR="00947A15" w:rsidRPr="001A38AF" w:rsidRDefault="00947A15"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shd w:val="clear" w:color="auto" w:fill="F7CAAC" w:themeFill="accent2" w:themeFillTint="66"/>
            <w:vAlign w:val="center"/>
          </w:tcPr>
          <w:p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947A15" w:rsidRPr="001A38AF" w:rsidRDefault="00947A15" w:rsidP="00375760">
            <w:pPr>
              <w:spacing w:after="0" w:line="240" w:lineRule="auto"/>
              <w:jc w:val="center"/>
              <w:rPr>
                <w:i/>
                <w:iCs/>
                <w:sz w:val="20"/>
                <w:szCs w:val="20"/>
                <w:lang w:val="bg-BG"/>
              </w:rPr>
            </w:pPr>
          </w:p>
        </w:tc>
        <w:tc>
          <w:tcPr>
            <w:tcW w:w="3831" w:type="dxa"/>
            <w:vMerge/>
            <w:tcBorders>
              <w:bottom w:val="single" w:sz="4" w:space="0" w:color="auto"/>
            </w:tcBorders>
          </w:tcPr>
          <w:p w:rsidR="00947A15" w:rsidRPr="001A38AF" w:rsidRDefault="00947A15"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rsidR="00947A15" w:rsidRPr="001A38AF" w:rsidRDefault="00947A15"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rsidR="00947A15" w:rsidRPr="001A38AF" w:rsidRDefault="00947A15"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val="restart"/>
            <w:shd w:val="clear" w:color="auto" w:fill="F7CAAC" w:themeFill="accent2" w:themeFillTint="66"/>
            <w:vAlign w:val="center"/>
          </w:tcPr>
          <w:p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shd w:val="clear" w:color="auto" w:fill="F7CAAC" w:themeFill="accent2" w:themeFillTint="66"/>
            <w:vAlign w:val="center"/>
          </w:tcPr>
          <w:p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val="restart"/>
            <w:shd w:val="clear" w:color="auto" w:fill="F7CAAC" w:themeFill="accent2" w:themeFillTint="66"/>
            <w:vAlign w:val="center"/>
          </w:tcPr>
          <w:p w:rsidR="00947A15" w:rsidRPr="00BD2C5C" w:rsidRDefault="00947A15"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rsidR="00947A15" w:rsidRPr="007106D3" w:rsidRDefault="00947A15" w:rsidP="00375760">
            <w:pPr>
              <w:spacing w:after="0" w:line="240" w:lineRule="auto"/>
              <w:rPr>
                <w:rFonts w:ascii="Times New Roman" w:hAnsi="Times New Roman"/>
                <w:i/>
                <w:iCs/>
                <w:sz w:val="16"/>
                <w:szCs w:val="16"/>
                <w:lang w:val="bg-BG"/>
              </w:rPr>
            </w:pPr>
          </w:p>
        </w:tc>
        <w:tc>
          <w:tcPr>
            <w:tcW w:w="2126" w:type="dxa"/>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shd w:val="clear" w:color="auto" w:fill="F7CAAC" w:themeFill="accent2" w:themeFillTint="66"/>
            <w:vAlign w:val="center"/>
          </w:tcPr>
          <w:p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947A15" w:rsidRDefault="00947A15" w:rsidP="00375760">
            <w:pPr>
              <w:spacing w:after="0" w:line="240" w:lineRule="auto"/>
              <w:jc w:val="center"/>
              <w:rPr>
                <w:sz w:val="20"/>
                <w:szCs w:val="20"/>
                <w:lang w:val="bg-BG"/>
              </w:rPr>
            </w:pPr>
          </w:p>
        </w:tc>
        <w:tc>
          <w:tcPr>
            <w:tcW w:w="3831" w:type="dxa"/>
            <w:vMerge/>
            <w:tcBorders>
              <w:bottom w:val="single" w:sz="4" w:space="0" w:color="auto"/>
            </w:tcBorders>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947A15" w:rsidRDefault="00947A15"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947A15" w:rsidRDefault="00947A15" w:rsidP="00375760">
            <w:pPr>
              <w:spacing w:after="0" w:line="240" w:lineRule="auto"/>
              <w:rPr>
                <w:rFonts w:ascii="Times New Roman" w:hAnsi="Times New Roman"/>
                <w:sz w:val="24"/>
                <w:szCs w:val="24"/>
                <w:lang w:val="en-US"/>
              </w:rPr>
            </w:pPr>
          </w:p>
        </w:tc>
      </w:tr>
      <w:bookmarkEnd w:id="4"/>
      <w:tr w:rsidR="00947A15" w:rsidRPr="00BD2C5C" w:rsidTr="00375760">
        <w:tc>
          <w:tcPr>
            <w:tcW w:w="1555" w:type="dxa"/>
            <w:vMerge w:val="restart"/>
            <w:shd w:val="clear" w:color="auto" w:fill="F7CAAC" w:themeFill="accent2" w:themeFillTint="66"/>
            <w:vAlign w:val="center"/>
          </w:tcPr>
          <w:p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shd w:val="clear" w:color="auto" w:fill="F7CAAC" w:themeFill="accent2" w:themeFillTint="66"/>
            <w:vAlign w:val="center"/>
          </w:tcPr>
          <w:p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val="restart"/>
            <w:shd w:val="clear" w:color="auto" w:fill="F7CAAC" w:themeFill="accent2" w:themeFillTint="66"/>
          </w:tcPr>
          <w:p w:rsidR="00947A15" w:rsidRPr="00B3101E"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rsidR="00947A15" w:rsidRPr="00BD2C5C" w:rsidRDefault="00947A15"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rsidR="00947A15" w:rsidRPr="007106D3" w:rsidRDefault="00947A15" w:rsidP="00375760">
            <w:pPr>
              <w:spacing w:after="0" w:line="240" w:lineRule="auto"/>
              <w:rPr>
                <w:rFonts w:ascii="Times New Roman" w:hAnsi="Times New Roman"/>
                <w:i/>
                <w:iCs/>
                <w:sz w:val="16"/>
                <w:szCs w:val="16"/>
                <w:lang w:val="bg-BG"/>
              </w:rPr>
            </w:pPr>
          </w:p>
        </w:tc>
        <w:tc>
          <w:tcPr>
            <w:tcW w:w="2126" w:type="dxa"/>
          </w:tcPr>
          <w:p w:rsidR="00947A15" w:rsidRDefault="00947A15" w:rsidP="00375760">
            <w:pPr>
              <w:spacing w:after="0" w:line="240" w:lineRule="auto"/>
              <w:rPr>
                <w:rFonts w:ascii="Times New Roman" w:hAnsi="Times New Roman"/>
                <w:sz w:val="24"/>
                <w:szCs w:val="24"/>
                <w:lang w:val="en-US"/>
              </w:rPr>
            </w:pPr>
          </w:p>
        </w:tc>
      </w:tr>
      <w:tr w:rsidR="00947A15" w:rsidRPr="00BD2C5C" w:rsidTr="00375760">
        <w:tc>
          <w:tcPr>
            <w:tcW w:w="1555" w:type="dxa"/>
            <w:vMerge/>
            <w:shd w:val="clear" w:color="auto" w:fill="F7CAAC" w:themeFill="accent2" w:themeFillTint="66"/>
            <w:vAlign w:val="center"/>
          </w:tcPr>
          <w:p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rsidR="00947A15" w:rsidRDefault="00947A15" w:rsidP="00375760">
            <w:pPr>
              <w:spacing w:after="0" w:line="240" w:lineRule="auto"/>
              <w:jc w:val="center"/>
              <w:rPr>
                <w:sz w:val="20"/>
                <w:szCs w:val="20"/>
                <w:lang w:val="bg-BG"/>
              </w:rPr>
            </w:pPr>
          </w:p>
        </w:tc>
        <w:tc>
          <w:tcPr>
            <w:tcW w:w="3831" w:type="dxa"/>
            <w:vMerge/>
          </w:tcPr>
          <w:p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Pr>
          <w:p w:rsidR="00947A15" w:rsidRDefault="00947A15" w:rsidP="00375760">
            <w:pPr>
              <w:spacing w:after="0" w:line="240" w:lineRule="auto"/>
              <w:rPr>
                <w:rFonts w:ascii="Times New Roman" w:hAnsi="Times New Roman"/>
                <w:i/>
                <w:iCs/>
                <w:sz w:val="16"/>
                <w:szCs w:val="16"/>
                <w:lang w:val="bg-BG"/>
              </w:rPr>
            </w:pPr>
          </w:p>
        </w:tc>
        <w:tc>
          <w:tcPr>
            <w:tcW w:w="2126" w:type="dxa"/>
          </w:tcPr>
          <w:p w:rsidR="00947A15" w:rsidRDefault="00947A15" w:rsidP="00375760">
            <w:pPr>
              <w:spacing w:after="0" w:line="240" w:lineRule="auto"/>
              <w:rPr>
                <w:rFonts w:ascii="Times New Roman" w:hAnsi="Times New Roman"/>
                <w:sz w:val="24"/>
                <w:szCs w:val="24"/>
                <w:lang w:val="en-US"/>
              </w:rPr>
            </w:pPr>
          </w:p>
        </w:tc>
      </w:tr>
    </w:tbl>
    <w:p w:rsidR="00BD5F4C" w:rsidRPr="00BD2C5C" w:rsidRDefault="00BD5F4C" w:rsidP="00BD5F4C">
      <w:pPr>
        <w:spacing w:after="0" w:line="240" w:lineRule="auto"/>
        <w:rPr>
          <w:rFonts w:ascii="Times New Roman" w:hAnsi="Times New Roman"/>
          <w:sz w:val="24"/>
          <w:szCs w:val="24"/>
        </w:rPr>
      </w:pPr>
    </w:p>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rsidTr="00BD0C0C">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EB1910">
              <w:rPr>
                <w:rFonts w:ascii="Times New Roman" w:hAnsi="Times New Roman"/>
                <w:bCs/>
                <w:sz w:val="24"/>
                <w:szCs w:val="24"/>
              </w:rPr>
              <w:t>I</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auto"/>
          </w:tcPr>
          <w:p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tc>
        <w:tc>
          <w:tcPr>
            <w:tcW w:w="2758" w:type="dxa"/>
            <w:shd w:val="clear" w:color="auto" w:fill="auto"/>
          </w:tcPr>
          <w:p w:rsidR="00BD0C0C" w:rsidRPr="00BD2C5C" w:rsidRDefault="00BD0C0C" w:rsidP="0053083F">
            <w:pPr>
              <w:spacing w:after="0" w:line="240" w:lineRule="auto"/>
              <w:rPr>
                <w:rFonts w:ascii="Times New Roman" w:hAnsi="Times New Roman"/>
                <w:sz w:val="24"/>
                <w:szCs w:val="24"/>
              </w:rPr>
            </w:pP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The elements delineated in the level of integrity are addressed in the </w:t>
            </w:r>
            <w:proofErr w:type="spellStart"/>
            <w:r w:rsidRPr="00157EBB">
              <w:rPr>
                <w:rFonts w:ascii="Times New Roman" w:hAnsi="Times New Roman"/>
                <w:sz w:val="24"/>
                <w:szCs w:val="24"/>
              </w:rPr>
              <w:t>ConOps</w:t>
            </w:r>
            <w:proofErr w:type="spellEnd"/>
            <w:r w:rsidRPr="00157EBB">
              <w:rPr>
                <w:rFonts w:ascii="Times New Roman" w:hAnsi="Times New Roman"/>
                <w:sz w:val="24"/>
                <w:szCs w:val="24"/>
              </w:rPr>
              <w:t>.</w:t>
            </w:r>
          </w:p>
        </w:tc>
        <w:tc>
          <w:tcPr>
            <w:tcW w:w="2758" w:type="dxa"/>
            <w:shd w:val="clear" w:color="auto" w:fill="auto"/>
          </w:tcPr>
          <w:p w:rsidR="00BD0C0C" w:rsidRPr="00AD6177" w:rsidRDefault="00AD6177" w:rsidP="0053083F">
            <w:pPr>
              <w:spacing w:after="0" w:line="240" w:lineRule="auto"/>
              <w:rPr>
                <w:rFonts w:ascii="Times New Roman" w:hAnsi="Times New Roman"/>
                <w:i/>
                <w:iCs/>
                <w:sz w:val="16"/>
                <w:szCs w:val="16"/>
                <w:lang w:val="en-US"/>
              </w:rPr>
            </w:pPr>
            <w:r w:rsidRPr="00AD6177">
              <w:rPr>
                <w:rFonts w:ascii="Times New Roman" w:hAnsi="Times New Roman"/>
                <w:i/>
                <w:iCs/>
                <w:sz w:val="16"/>
                <w:szCs w:val="16"/>
                <w:lang w:val="bg-BG"/>
              </w:rPr>
              <w:t xml:space="preserve">Разработена е концепция за опериране </w:t>
            </w:r>
            <w:r w:rsidRPr="00AD6177">
              <w:rPr>
                <w:rFonts w:ascii="Times New Roman" w:hAnsi="Times New Roman"/>
                <w:i/>
                <w:iCs/>
                <w:sz w:val="16"/>
                <w:szCs w:val="16"/>
                <w:lang w:val="en-US"/>
              </w:rPr>
              <w:t>(</w:t>
            </w:r>
            <w:proofErr w:type="spellStart"/>
            <w:r w:rsidRPr="00AD6177">
              <w:rPr>
                <w:rFonts w:ascii="Times New Roman" w:hAnsi="Times New Roman"/>
                <w:i/>
                <w:iCs/>
                <w:sz w:val="16"/>
                <w:szCs w:val="16"/>
                <w:lang w:val="en-US"/>
              </w:rPr>
              <w:t>ConOps</w:t>
            </w:r>
            <w:proofErr w:type="spellEnd"/>
            <w:r w:rsidRPr="00AD6177">
              <w:rPr>
                <w:rFonts w:ascii="Times New Roman" w:hAnsi="Times New Roman"/>
                <w:i/>
                <w:iCs/>
                <w:sz w:val="16"/>
                <w:szCs w:val="16"/>
                <w:lang w:val="en-US"/>
              </w:rPr>
              <w:t xml:space="preserve">) </w:t>
            </w:r>
          </w:p>
        </w:tc>
        <w:tc>
          <w:tcPr>
            <w:tcW w:w="2420" w:type="dxa"/>
          </w:tcPr>
          <w:p w:rsidR="00BD0C0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2A3859">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p>
          <w:p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53083F">
            <w:pPr>
              <w:spacing w:after="0" w:line="240" w:lineRule="auto"/>
              <w:jc w:val="center"/>
              <w:rPr>
                <w:rFonts w:ascii="Times New Roman" w:hAnsi="Times New Roman"/>
                <w:sz w:val="24"/>
                <w:szCs w:val="24"/>
              </w:rPr>
            </w:pPr>
          </w:p>
        </w:tc>
        <w:tc>
          <w:tcPr>
            <w:tcW w:w="5032" w:type="dxa"/>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2A3859" w:rsidRPr="002A3859">
              <w:rPr>
                <w:rFonts w:ascii="Times New Roman" w:hAnsi="Times New Roman"/>
                <w:sz w:val="24"/>
                <w:szCs w:val="24"/>
                <w:vertAlign w:val="superscript"/>
              </w:rPr>
              <w:t>1/2</w:t>
            </w:r>
            <w:r w:rsidRPr="00157EBB">
              <w:rPr>
                <w:rFonts w:ascii="Times New Roman" w:hAnsi="Times New Roman"/>
                <w:sz w:val="24"/>
                <w:szCs w:val="24"/>
              </w:rPr>
              <w:t xml:space="preserve">. </w:t>
            </w:r>
          </w:p>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2A3859" w:rsidRPr="002A3859" w:rsidRDefault="002A3859" w:rsidP="002A3859">
            <w:pPr>
              <w:spacing w:after="0" w:line="240" w:lineRule="auto"/>
              <w:jc w:val="left"/>
              <w:rPr>
                <w:rFonts w:ascii="Times New Roman" w:hAnsi="Times New Roman"/>
                <w:i/>
                <w:iCs/>
                <w:sz w:val="18"/>
                <w:szCs w:val="18"/>
              </w:rPr>
            </w:pPr>
            <w:r w:rsidRPr="002A3859">
              <w:rPr>
                <w:rFonts w:ascii="Times New Roman" w:hAnsi="Times New Roman"/>
                <w:i/>
                <w:iCs/>
                <w:sz w:val="18"/>
                <w:szCs w:val="18"/>
              </w:rPr>
              <w:t>1 Objective is to record all the maintenance performed on the aircraft, and why it is performed (rectification of defects or malfunctions, modifications, scheduled maintenance, etc.)</w:t>
            </w:r>
          </w:p>
          <w:p w:rsidR="002A3859" w:rsidRPr="00BD2C5C" w:rsidRDefault="002A3859" w:rsidP="002A3859">
            <w:pPr>
              <w:spacing w:after="0" w:line="240" w:lineRule="auto"/>
              <w:jc w:val="left"/>
              <w:rPr>
                <w:rFonts w:ascii="Times New Roman" w:hAnsi="Times New Roman"/>
                <w:sz w:val="24"/>
                <w:szCs w:val="24"/>
              </w:rPr>
            </w:pPr>
            <w:r w:rsidRPr="002A3859">
              <w:rPr>
                <w:rFonts w:ascii="Times New Roman" w:hAnsi="Times New Roman"/>
                <w:i/>
                <w:iCs/>
                <w:sz w:val="18"/>
                <w:szCs w:val="18"/>
              </w:rPr>
              <w:t>2 The maintenance log may be requested for inspection/audit by the approving authority or an authorised representative.</w:t>
            </w:r>
          </w:p>
        </w:tc>
        <w:tc>
          <w:tcPr>
            <w:tcW w:w="2758" w:type="dxa"/>
          </w:tcPr>
          <w:p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BD0C0C"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1E0D59"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2A3859" w:rsidRDefault="002A3859" w:rsidP="002C157C">
            <w:pPr>
              <w:spacing w:after="0" w:line="240" w:lineRule="auto"/>
              <w:rPr>
                <w:rFonts w:ascii="Times New Roman" w:hAnsi="Times New Roman"/>
                <w:sz w:val="24"/>
                <w:szCs w:val="24"/>
              </w:rPr>
            </w:pPr>
            <w:r w:rsidRPr="002A3859">
              <w:rPr>
                <w:rFonts w:ascii="Times New Roman" w:hAnsi="Times New Roman"/>
                <w:sz w:val="24"/>
                <w:szCs w:val="24"/>
              </w:rPr>
              <w:t>Consider criteria defined in Section 9</w:t>
            </w:r>
          </w:p>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032" w:type="dxa"/>
          </w:tcPr>
          <w:p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2F7B50" w:rsidP="002F7B50">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BD0C0C" w:rsidRDefault="002F7B50" w:rsidP="002C157C">
            <w:pPr>
              <w:spacing w:after="0" w:line="240" w:lineRule="auto"/>
              <w:jc w:val="left"/>
              <w:rPr>
                <w:rFonts w:ascii="Times New Roman" w:hAnsi="Times New Roman"/>
                <w:sz w:val="24"/>
                <w:szCs w:val="24"/>
              </w:rPr>
            </w:pPr>
            <w:r w:rsidRPr="002F7B50">
              <w:rPr>
                <w:rFonts w:ascii="Times New Roman" w:hAnsi="Times New Roman"/>
                <w:sz w:val="24"/>
                <w:szCs w:val="24"/>
              </w:rPr>
              <w:t>Contingency/emergency procedures require manual control by the remote pilot</w:t>
            </w:r>
            <w:r w:rsidRPr="002F7B50">
              <w:rPr>
                <w:rFonts w:ascii="Times New Roman" w:hAnsi="Times New Roman"/>
                <w:sz w:val="24"/>
                <w:szCs w:val="24"/>
                <w:vertAlign w:val="superscript"/>
              </w:rPr>
              <w:t>2</w:t>
            </w:r>
            <w:r w:rsidRPr="002F7B50">
              <w:rPr>
                <w:rFonts w:ascii="Times New Roman" w:hAnsi="Times New Roman"/>
                <w:sz w:val="24"/>
                <w:szCs w:val="24"/>
              </w:rPr>
              <w:t xml:space="preserve"> when the UAS is usually automatically controlled.</w:t>
            </w:r>
          </w:p>
          <w:p w:rsidR="002F7B50" w:rsidRPr="002F7B50" w:rsidRDefault="002F7B50" w:rsidP="002C157C">
            <w:pPr>
              <w:spacing w:after="0" w:line="240" w:lineRule="auto"/>
              <w:jc w:val="left"/>
              <w:rPr>
                <w:rFonts w:ascii="Times New Roman" w:hAnsi="Times New Roman"/>
                <w:i/>
                <w:iCs/>
                <w:sz w:val="18"/>
                <w:szCs w:val="18"/>
              </w:rPr>
            </w:pPr>
            <w:r w:rsidRPr="002F7B50">
              <w:rPr>
                <w:rFonts w:ascii="Times New Roman" w:hAnsi="Times New Roman"/>
                <w:i/>
                <w:iCs/>
                <w:sz w:val="18"/>
                <w:szCs w:val="18"/>
              </w:rPr>
              <w:t>2 This is still under discussion since not all UAS have a mode where the pilot could directly control the surfaces; moreover, some people claim it requires significant skill not to make things worse.</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When operating over populated areas or assemblies of people, it can be reasonably expected that a fatality will not o</w:t>
            </w:r>
            <w:r>
              <w:rPr>
                <w:rFonts w:ascii="Times New Roman" w:hAnsi="Times New Roman"/>
                <w:sz w:val="24"/>
                <w:szCs w:val="24"/>
              </w:rPr>
              <w:t>ccur from any probable</w:t>
            </w:r>
            <w:r w:rsidR="005A18DA" w:rsidRPr="005A18DA">
              <w:rPr>
                <w:rFonts w:ascii="Times New Roman" w:hAnsi="Times New Roman"/>
                <w:sz w:val="24"/>
                <w:szCs w:val="24"/>
                <w:vertAlign w:val="superscript"/>
              </w:rPr>
              <w:t>1</w:t>
            </w:r>
            <w:r>
              <w:rPr>
                <w:rFonts w:ascii="Times New Roman" w:hAnsi="Times New Roman"/>
                <w:sz w:val="24"/>
                <w:szCs w:val="24"/>
              </w:rPr>
              <w:t xml:space="preserve"> failure</w:t>
            </w:r>
            <w:r w:rsidR="005A18DA" w:rsidRPr="005A18DA">
              <w:rPr>
                <w:rFonts w:ascii="Times New Roman" w:hAnsi="Times New Roman"/>
                <w:sz w:val="24"/>
                <w:szCs w:val="24"/>
                <w:vertAlign w:val="superscript"/>
              </w:rPr>
              <w:t>2</w:t>
            </w:r>
            <w:r w:rsidRPr="0053083F">
              <w:rPr>
                <w:rFonts w:ascii="Times New Roman" w:hAnsi="Times New Roman"/>
                <w:sz w:val="24"/>
                <w:szCs w:val="24"/>
              </w:rPr>
              <w:t xml:space="preserve"> of the UAS or any external system supporting the operation.</w:t>
            </w:r>
          </w:p>
          <w:p w:rsidR="005A18DA" w:rsidRPr="005A18DA" w:rsidRDefault="005A18DA" w:rsidP="005A18DA">
            <w:pPr>
              <w:spacing w:after="0" w:line="240" w:lineRule="auto"/>
              <w:jc w:val="left"/>
              <w:rPr>
                <w:rFonts w:ascii="Times New Roman" w:hAnsi="Times New Roman"/>
                <w:i/>
                <w:iCs/>
                <w:sz w:val="18"/>
                <w:szCs w:val="18"/>
              </w:rPr>
            </w:pPr>
            <w:r w:rsidRPr="005A18DA">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rsidR="005A18DA" w:rsidRPr="00BD2C5C" w:rsidRDefault="005A18DA" w:rsidP="005A18DA">
            <w:pPr>
              <w:spacing w:after="0" w:line="240" w:lineRule="auto"/>
              <w:jc w:val="left"/>
              <w:rPr>
                <w:rFonts w:ascii="Times New Roman" w:hAnsi="Times New Roman"/>
                <w:sz w:val="24"/>
                <w:szCs w:val="24"/>
              </w:rPr>
            </w:pPr>
            <w:r w:rsidRPr="005A18DA">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tc>
        <w:tc>
          <w:tcPr>
            <w:tcW w:w="2758" w:type="dxa"/>
            <w:shd w:val="clear" w:color="auto" w:fill="FBE4D5" w:themeFill="accent2" w:themeFillTint="33"/>
          </w:tcPr>
          <w:p w:rsidR="00BD0C0C" w:rsidRPr="00D25BFF" w:rsidRDefault="00BD0C0C" w:rsidP="002C157C">
            <w:pPr>
              <w:spacing w:after="0" w:line="240" w:lineRule="auto"/>
              <w:rPr>
                <w:rFonts w:ascii="Times New Roman" w:hAnsi="Times New Roman"/>
                <w:sz w:val="24"/>
                <w:szCs w:val="24"/>
                <w:lang w:val="bg-BG"/>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rsidR="00BD0C0C" w:rsidRPr="00BD2C5C" w:rsidRDefault="00BD0C0C" w:rsidP="001C09CD">
            <w:pPr>
              <w:spacing w:after="0" w:line="240" w:lineRule="auto"/>
              <w:rPr>
                <w:rFonts w:ascii="Times New Roman" w:hAnsi="Times New Roman"/>
                <w:sz w:val="24"/>
                <w:szCs w:val="24"/>
              </w:rPr>
            </w:pPr>
          </w:p>
        </w:tc>
        <w:tc>
          <w:tcPr>
            <w:tcW w:w="2420" w:type="dxa"/>
          </w:tcPr>
          <w:p w:rsidR="00BD0C0C" w:rsidRPr="00603613"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2A3859"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The policy to define how the remote crew declares themselves fit to operate (before an operation) is documented. </w:t>
            </w:r>
          </w:p>
          <w:p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rsidR="00BD0C0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rsidR="005A18DA" w:rsidRPr="005A18DA" w:rsidRDefault="005A18DA" w:rsidP="005A18DA">
            <w:pPr>
              <w:spacing w:after="0" w:line="240" w:lineRule="auto"/>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does not degrade the VO’s ability to:</w:t>
            </w:r>
          </w:p>
          <w:p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rsidR="005A18DA" w:rsidRPr="002C157C" w:rsidRDefault="005A18DA" w:rsidP="005A18DA">
            <w:pPr>
              <w:spacing w:after="0" w:line="240" w:lineRule="auto"/>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2A3859"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on inspection or analyses. </w:t>
            </w:r>
          </w:p>
          <w:p w:rsidR="00BD0C0C" w:rsidRPr="002C157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competent authority may request EASA to witness the HMI evaluation of the UAS.</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BD0C0C" w:rsidRPr="00D434E6" w:rsidRDefault="00BD0C0C" w:rsidP="002C157C">
            <w:pPr>
              <w:spacing w:after="0" w:line="240" w:lineRule="auto"/>
              <w:rPr>
                <w:rFonts w:ascii="Times New Roman" w:hAnsi="Times New Roman"/>
                <w:sz w:val="24"/>
                <w:szCs w:val="24"/>
                <w:lang w:val="en-US"/>
              </w:rPr>
            </w:pPr>
          </w:p>
        </w:tc>
        <w:tc>
          <w:tcPr>
            <w:tcW w:w="2420" w:type="dxa"/>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D434E6">
            <w:pPr>
              <w:spacing w:after="0" w:line="240" w:lineRule="auto"/>
              <w:jc w:val="center"/>
              <w:rPr>
                <w:rFonts w:ascii="Times New Roman" w:hAnsi="Times New Roman"/>
                <w:sz w:val="24"/>
                <w:szCs w:val="24"/>
              </w:rPr>
            </w:pPr>
          </w:p>
        </w:tc>
        <w:tc>
          <w:tcPr>
            <w:tcW w:w="1384" w:type="dxa"/>
            <w:vMerge/>
          </w:tcPr>
          <w:p w:rsidR="00BD0C0C" w:rsidRPr="00BD2C5C" w:rsidRDefault="00BD0C0C" w:rsidP="00D434E6">
            <w:pPr>
              <w:spacing w:after="0" w:line="240" w:lineRule="auto"/>
              <w:rPr>
                <w:rFonts w:ascii="Times New Roman" w:hAnsi="Times New Roman"/>
                <w:sz w:val="24"/>
                <w:szCs w:val="24"/>
              </w:rPr>
            </w:pPr>
          </w:p>
        </w:tc>
        <w:tc>
          <w:tcPr>
            <w:tcW w:w="5032" w:type="dxa"/>
          </w:tcPr>
          <w:p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BD0C0C" w:rsidRPr="00D434E6" w:rsidRDefault="00BD0C0C" w:rsidP="00D434E6">
            <w:pPr>
              <w:spacing w:after="0" w:line="240" w:lineRule="auto"/>
              <w:rPr>
                <w:rFonts w:ascii="Times New Roman" w:hAnsi="Times New Roman"/>
                <w:sz w:val="24"/>
                <w:szCs w:val="24"/>
                <w:lang w:val="en-US"/>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Pr>
          <w:p w:rsidR="00BD0C0C" w:rsidRPr="00BD2C5C" w:rsidRDefault="00BD0C0C" w:rsidP="002C157C">
            <w:pPr>
              <w:spacing w:after="0" w:line="240" w:lineRule="auto"/>
              <w:rPr>
                <w:rFonts w:ascii="Times New Roman" w:hAnsi="Times New Roman"/>
                <w:sz w:val="24"/>
                <w:szCs w:val="24"/>
              </w:rPr>
            </w:pPr>
          </w:p>
        </w:tc>
        <w:tc>
          <w:tcPr>
            <w:tcW w:w="5032" w:type="dxa"/>
          </w:tcPr>
          <w:p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#3 (Training)</w:t>
            </w:r>
          </w:p>
          <w:p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BD0C0C" w:rsidRPr="00BD2C5C" w:rsidRDefault="00BD0C0C" w:rsidP="00D434E6">
            <w:pPr>
              <w:spacing w:after="0" w:line="240" w:lineRule="auto"/>
              <w:rPr>
                <w:rFonts w:ascii="Times New Roman" w:hAnsi="Times New Roman"/>
                <w:sz w:val="24"/>
                <w:szCs w:val="24"/>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ty has been achieved</w:t>
            </w:r>
            <w:r w:rsidR="002A3859" w:rsidRPr="002A3859">
              <w:rPr>
                <w:rFonts w:ascii="Times New Roman" w:hAnsi="Times New Roman"/>
                <w:sz w:val="24"/>
                <w:szCs w:val="24"/>
                <w:vertAlign w:val="superscript"/>
              </w:rPr>
              <w:t>1</w:t>
            </w:r>
            <w:r>
              <w:rPr>
                <w:rFonts w:ascii="Times New Roman" w:hAnsi="Times New Roman"/>
                <w:sz w:val="24"/>
                <w:szCs w:val="24"/>
              </w:rPr>
              <w:t xml:space="preserve">. </w:t>
            </w:r>
          </w:p>
          <w:p w:rsidR="002A3859" w:rsidRPr="002A3859" w:rsidRDefault="002A3859" w:rsidP="00603613">
            <w:pPr>
              <w:spacing w:after="0" w:line="240" w:lineRule="auto"/>
              <w:rPr>
                <w:rFonts w:ascii="Times New Roman" w:hAnsi="Times New Roman"/>
                <w:i/>
                <w:iCs/>
                <w:sz w:val="18"/>
                <w:szCs w:val="18"/>
              </w:rPr>
            </w:pPr>
            <w:r w:rsidRPr="002A3859">
              <w:rPr>
                <w:rFonts w:ascii="Times New Roman" w:hAnsi="Times New Roman"/>
                <w:i/>
                <w:iCs/>
                <w:sz w:val="18"/>
                <w:szCs w:val="18"/>
              </w:rPr>
              <w:t>1 Supporting evidence may or may not be available.</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415D1C" w:rsidTr="00973AD7">
        <w:tc>
          <w:tcPr>
            <w:tcW w:w="14601" w:type="dxa"/>
            <w:shd w:val="clear" w:color="auto" w:fill="D9D9D9" w:themeFill="background1" w:themeFillShade="D9"/>
          </w:tcPr>
          <w:p w:rsidR="00982474" w:rsidRPr="00415D1C" w:rsidRDefault="00982474" w:rsidP="004D6D23">
            <w:pPr>
              <w:spacing w:after="0" w:line="240" w:lineRule="auto"/>
              <w:rPr>
                <w:rFonts w:ascii="Times New Roman" w:eastAsia="Calibri" w:hAnsi="Times New Roman"/>
                <w:sz w:val="24"/>
                <w:szCs w:val="24"/>
                <w:lang w:val="bg-BG" w:eastAsia="bg-BG"/>
              </w:rPr>
            </w:pPr>
            <w:r w:rsidRPr="00415D1C">
              <w:rPr>
                <w:rFonts w:ascii="Times New Roman" w:eastAsia="Calibri" w:hAnsi="Times New Roman"/>
                <w:sz w:val="24"/>
                <w:szCs w:val="24"/>
                <w:lang w:val="bg-BG" w:eastAsia="bg-BG"/>
              </w:rPr>
              <w:t xml:space="preserve">Обобщение на констатациите:                                                                                                                                                   </w:t>
            </w:r>
            <w:r w:rsidRPr="00415D1C">
              <w:rPr>
                <w:rFonts w:ascii="Times New Roman" w:eastAsia="Calibri" w:hAnsi="Times New Roman"/>
                <w:i/>
                <w:sz w:val="24"/>
                <w:szCs w:val="24"/>
                <w:lang w:val="bg-BG" w:eastAsia="bg-BG"/>
              </w:rPr>
              <w:t>Попълва се от ГД ГВА</w:t>
            </w:r>
          </w:p>
        </w:tc>
      </w:tr>
      <w:tr w:rsidR="00982474" w:rsidRPr="00C13088" w:rsidTr="00973AD7">
        <w:tc>
          <w:tcPr>
            <w:tcW w:w="14601" w:type="dxa"/>
            <w:shd w:val="clear" w:color="auto" w:fill="auto"/>
          </w:tcPr>
          <w:p w:rsidR="00982474" w:rsidRPr="00C13088" w:rsidRDefault="00982474" w:rsidP="004D6D23">
            <w:pPr>
              <w:spacing w:after="0" w:line="240" w:lineRule="auto"/>
              <w:rPr>
                <w:rFonts w:ascii="Times New Roman" w:eastAsia="Calibri" w:hAnsi="Times New Roman"/>
                <w:sz w:val="20"/>
                <w:szCs w:val="20"/>
                <w:lang w:val="bg-BG" w:eastAsia="bg-BG"/>
              </w:rPr>
            </w:pPr>
          </w:p>
          <w:p w:rsidR="00982474" w:rsidRPr="00C13088" w:rsidRDefault="00982474" w:rsidP="004D6D23">
            <w:pPr>
              <w:spacing w:after="0" w:line="240" w:lineRule="auto"/>
              <w:rPr>
                <w:rFonts w:ascii="Times New Roman" w:eastAsia="Calibri" w:hAnsi="Times New Roman"/>
                <w:sz w:val="20"/>
                <w:szCs w:val="20"/>
                <w:lang w:val="bg-BG" w:eastAsia="bg-BG"/>
              </w:rPr>
            </w:pPr>
          </w:p>
          <w:p w:rsidR="00982474" w:rsidRPr="00C13088" w:rsidRDefault="00982474" w:rsidP="004D6D23">
            <w:pPr>
              <w:spacing w:after="0" w:line="240" w:lineRule="auto"/>
              <w:rPr>
                <w:rFonts w:ascii="Times New Roman" w:eastAsia="Calibri" w:hAnsi="Times New Roman"/>
                <w:sz w:val="20"/>
                <w:szCs w:val="20"/>
                <w:lang w:val="bg-BG" w:eastAsia="bg-BG"/>
              </w:rPr>
            </w:pPr>
          </w:p>
        </w:tc>
      </w:tr>
    </w:tbl>
    <w:p w:rsidR="00982474" w:rsidRPr="00C13088" w:rsidRDefault="00982474" w:rsidP="00982474">
      <w:pPr>
        <w:spacing w:after="0" w:line="240" w:lineRule="auto"/>
        <w:rPr>
          <w:sz w:val="8"/>
          <w:szCs w:val="8"/>
          <w:lang w:val="bg-BG"/>
        </w:rPr>
      </w:pPr>
    </w:p>
    <w:p w:rsidR="00982474" w:rsidRPr="00C13088" w:rsidRDefault="00982474" w:rsidP="00982474">
      <w:pPr>
        <w:spacing w:after="0" w:line="240" w:lineRule="auto"/>
        <w:rPr>
          <w:sz w:val="8"/>
          <w:szCs w:val="8"/>
          <w:lang w:val="bg-BG"/>
        </w:rPr>
      </w:pPr>
    </w:p>
    <w:p w:rsidR="00982474" w:rsidRPr="00C13088" w:rsidRDefault="00982474" w:rsidP="00982474">
      <w:pPr>
        <w:spacing w:after="0" w:line="240" w:lineRule="auto"/>
        <w:rPr>
          <w:sz w:val="8"/>
          <w:szCs w:val="8"/>
          <w:lang w:val="bg-BG"/>
        </w:rPr>
      </w:pPr>
    </w:p>
    <w:p w:rsidR="00982474" w:rsidRPr="00C13088" w:rsidRDefault="00982474" w:rsidP="00982474">
      <w:pPr>
        <w:spacing w:after="0" w:line="240" w:lineRule="auto"/>
        <w:rPr>
          <w:sz w:val="8"/>
          <w:szCs w:val="8"/>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4B59C1" w:rsidTr="00973AD7">
        <w:trPr>
          <w:trHeight w:val="367"/>
        </w:trPr>
        <w:tc>
          <w:tcPr>
            <w:tcW w:w="4253" w:type="dxa"/>
            <w:tcBorders>
              <w:top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Проверено от ГД</w:t>
            </w:r>
            <w:r w:rsidR="00973AD7" w:rsidRPr="004B59C1">
              <w:rPr>
                <w:rFonts w:ascii="Times New Roman" w:hAnsi="Times New Roman"/>
                <w:sz w:val="24"/>
                <w:szCs w:val="24"/>
                <w:lang w:val="bg-BG"/>
              </w:rPr>
              <w:t xml:space="preserve"> </w:t>
            </w:r>
            <w:r w:rsidRPr="004B59C1">
              <w:rPr>
                <w:rFonts w:ascii="Times New Roman" w:hAnsi="Times New Roman"/>
                <w:sz w:val="24"/>
                <w:szCs w:val="24"/>
                <w:lang w:val="bg-BG"/>
              </w:rPr>
              <w:t>ГВА</w:t>
            </w:r>
          </w:p>
        </w:tc>
      </w:tr>
      <w:tr w:rsidR="00982474" w:rsidRPr="004B59C1" w:rsidTr="00973AD7">
        <w:trPr>
          <w:trHeight w:val="391"/>
        </w:trPr>
        <w:tc>
          <w:tcPr>
            <w:tcW w:w="4253" w:type="dxa"/>
            <w:tcBorders>
              <w:top w:val="nil"/>
              <w:bottom w:val="nil"/>
              <w:right w:val="nil"/>
            </w:tcBorders>
            <w:noWrap/>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(инспектор):</w:t>
            </w:r>
          </w:p>
        </w:tc>
      </w:tr>
      <w:tr w:rsidR="00982474" w:rsidRPr="004B59C1" w:rsidTr="00973AD7">
        <w:trPr>
          <w:trHeight w:val="367"/>
        </w:trPr>
        <w:tc>
          <w:tcPr>
            <w:tcW w:w="4253" w:type="dxa"/>
            <w:tcBorders>
              <w:bottom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p>
        </w:tc>
        <w:tc>
          <w:tcPr>
            <w:tcW w:w="4147" w:type="dxa"/>
            <w:tcBorders>
              <w:bottom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p>
        </w:tc>
      </w:tr>
      <w:tr w:rsidR="00982474" w:rsidRPr="004B59C1" w:rsidTr="00973AD7">
        <w:trPr>
          <w:trHeight w:val="391"/>
        </w:trPr>
        <w:tc>
          <w:tcPr>
            <w:tcW w:w="4253" w:type="dxa"/>
            <w:tcBorders>
              <w:top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r>
    </w:tbl>
    <w:p w:rsidR="00982474" w:rsidRPr="00BD2C5C" w:rsidRDefault="00982474" w:rsidP="00BD5F4C">
      <w:pPr>
        <w:spacing w:after="0" w:line="240" w:lineRule="auto"/>
        <w:rPr>
          <w:rFonts w:ascii="Times New Roman" w:hAnsi="Times New Roman"/>
          <w:sz w:val="24"/>
          <w:szCs w:val="24"/>
        </w:rPr>
      </w:pPr>
    </w:p>
    <w:sectPr w:rsidR="00982474" w:rsidRPr="00BD2C5C" w:rsidSect="00022BD2">
      <w:footerReference w:type="default" r:id="rId6"/>
      <w:headerReference w:type="first" r:id="rId7"/>
      <w:footerReference w:type="first" r:id="rId8"/>
      <w:pgSz w:w="16838" w:h="11906" w:orient="landscape"/>
      <w:pgMar w:top="851" w:right="1417" w:bottom="567" w:left="1417" w:header="708"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C05" w:rsidRDefault="004B7C05" w:rsidP="0071535B">
      <w:pPr>
        <w:spacing w:after="0" w:line="240" w:lineRule="auto"/>
      </w:pPr>
      <w:r>
        <w:separator/>
      </w:r>
    </w:p>
  </w:endnote>
  <w:endnote w:type="continuationSeparator" w:id="0">
    <w:p w:rsidR="004B7C05" w:rsidRDefault="004B7C05"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BD2" w:rsidRPr="001655CE" w:rsidRDefault="001655CE" w:rsidP="001655CE">
    <w:pPr>
      <w:pStyle w:val="Footer"/>
    </w:pPr>
    <w:r w:rsidRPr="001655CE">
      <w:rPr>
        <w:sz w:val="20"/>
        <w:lang w:val="en-US" w:eastAsia="bg-BG"/>
      </w:rPr>
      <w:t>SPEC 01.04.02 Issue 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BD2" w:rsidRPr="001655CE" w:rsidRDefault="001655CE" w:rsidP="001655CE">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4.02</w:t>
    </w:r>
    <w:r>
      <w:rPr>
        <w:sz w:val="20"/>
        <w:lang w:eastAsia="bg-BG"/>
      </w:rPr>
      <w:t xml:space="preserve"> </w:t>
    </w:r>
    <w:r w:rsidRPr="00265054">
      <w:rPr>
        <w:sz w:val="20"/>
        <w:szCs w:val="20"/>
        <w:lang w:val="en-US"/>
      </w:rPr>
      <w:t>Issue 1</w:t>
    </w:r>
    <w:r>
      <w:rPr>
        <w:sz w:val="20"/>
        <w:szCs w:val="20"/>
        <w:lang w:val="bg-BG"/>
      </w:rPr>
      <w:t>.1</w:t>
    </w:r>
    <w:r w:rsidRPr="00265054">
      <w:rPr>
        <w:sz w:val="20"/>
        <w:szCs w:val="20"/>
        <w:lang w:val="en-US"/>
      </w:rPr>
      <w:t xml:space="preserve"> (</w:t>
    </w:r>
    <w:r>
      <w:rPr>
        <w:sz w:val="20"/>
        <w:szCs w:val="20"/>
        <w:lang w:val="en-US"/>
      </w:rPr>
      <w:t>Mar 2022</w:t>
    </w:r>
    <w:r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C05" w:rsidRDefault="004B7C05" w:rsidP="0071535B">
      <w:pPr>
        <w:spacing w:after="0" w:line="240" w:lineRule="auto"/>
      </w:pPr>
      <w:r>
        <w:separator/>
      </w:r>
    </w:p>
  </w:footnote>
  <w:footnote w:type="continuationSeparator" w:id="0">
    <w:p w:rsidR="004B7C05" w:rsidRDefault="004B7C05"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jc w:val="center"/>
      <w:tblCellMar>
        <w:left w:w="0" w:type="dxa"/>
        <w:right w:w="0" w:type="dxa"/>
      </w:tblCellMar>
      <w:tblLook w:val="01E0" w:firstRow="1" w:lastRow="1" w:firstColumn="1" w:lastColumn="1" w:noHBand="0" w:noVBand="0"/>
    </w:tblPr>
    <w:tblGrid>
      <w:gridCol w:w="2670"/>
      <w:gridCol w:w="11647"/>
    </w:tblGrid>
    <w:tr w:rsidR="0071535B" w:rsidRPr="0071535B" w:rsidTr="008D61B1">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647" w:type="dxa"/>
          <w:shd w:val="clear" w:color="auto" w:fill="auto"/>
          <w:vAlign w:val="center"/>
        </w:tcPr>
        <w:p w:rsidR="00DA48B1" w:rsidRPr="00DA48B1" w:rsidRDefault="00DA48B1" w:rsidP="00DA48B1">
          <w:pPr>
            <w:spacing w:after="0" w:line="240" w:lineRule="auto"/>
            <w:ind w:left="165" w:right="-144" w:hanging="142"/>
            <w:jc w:val="center"/>
            <w:rPr>
              <w:rFonts w:ascii="Times New Roman" w:hAnsi="Times New Roman"/>
              <w:b/>
              <w:sz w:val="32"/>
              <w:szCs w:val="32"/>
              <w:lang w:val="bg-BG"/>
            </w:rPr>
          </w:pPr>
          <w:r w:rsidRPr="00DA48B1">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II</w:t>
          </w:r>
          <w:r w:rsidRPr="00DA48B1">
            <w:rPr>
              <w:rFonts w:ascii="Times New Roman" w:hAnsi="Times New Roman"/>
              <w:b/>
              <w:sz w:val="32"/>
              <w:szCs w:val="32"/>
              <w:lang w:val="bg-BG"/>
            </w:rPr>
            <w:t>/</w:t>
          </w:r>
        </w:p>
        <w:p w:rsidR="0071535B" w:rsidRPr="00DA48B1" w:rsidRDefault="00DA48B1" w:rsidP="00DA48B1">
          <w:pPr>
            <w:spacing w:after="0" w:line="240" w:lineRule="auto"/>
            <w:jc w:val="center"/>
            <w:rPr>
              <w:rFonts w:ascii="Arial Narrow" w:hAnsi="Arial Narrow"/>
              <w:b/>
              <w:i/>
              <w:sz w:val="32"/>
              <w:szCs w:val="32"/>
              <w:lang w:val="en-US"/>
            </w:rPr>
          </w:pPr>
          <w:proofErr w:type="spellStart"/>
          <w:r w:rsidRPr="00DA48B1">
            <w:rPr>
              <w:rFonts w:ascii="Times New Roman" w:hAnsi="Times New Roman"/>
              <w:b/>
              <w:sz w:val="32"/>
              <w:szCs w:val="32"/>
              <w:lang w:val="bg-BG"/>
            </w:rPr>
            <w:t>Compliance</w:t>
          </w:r>
          <w:proofErr w:type="spellEnd"/>
          <w:r w:rsidRPr="00DA48B1">
            <w:rPr>
              <w:rFonts w:ascii="Times New Roman" w:hAnsi="Times New Roman"/>
              <w:b/>
              <w:sz w:val="32"/>
              <w:szCs w:val="32"/>
              <w:lang w:val="bg-BG"/>
            </w:rPr>
            <w:t xml:space="preserve"> </w:t>
          </w:r>
          <w:proofErr w:type="spellStart"/>
          <w:r w:rsidRPr="00DA48B1">
            <w:rPr>
              <w:rFonts w:ascii="Times New Roman" w:hAnsi="Times New Roman"/>
              <w:b/>
              <w:sz w:val="32"/>
              <w:szCs w:val="32"/>
              <w:lang w:val="bg-BG"/>
            </w:rPr>
            <w:t>evidence</w:t>
          </w:r>
          <w:proofErr w:type="spellEnd"/>
          <w:r w:rsidRPr="00DA48B1">
            <w:rPr>
              <w:rFonts w:ascii="Times New Roman" w:hAnsi="Times New Roman"/>
              <w:b/>
              <w:sz w:val="32"/>
              <w:szCs w:val="32"/>
              <w:lang w:val="bg-BG"/>
            </w:rPr>
            <w:t xml:space="preserve"> </w:t>
          </w:r>
          <w:proofErr w:type="spellStart"/>
          <w:r w:rsidRPr="00DA48B1">
            <w:rPr>
              <w:rFonts w:ascii="Times New Roman" w:hAnsi="Times New Roman"/>
              <w:b/>
              <w:sz w:val="32"/>
              <w:szCs w:val="32"/>
              <w:lang w:val="bg-BG"/>
            </w:rPr>
            <w:t>file</w:t>
          </w:r>
          <w:proofErr w:type="spellEnd"/>
          <w:r>
            <w:rPr>
              <w:rFonts w:ascii="Times New Roman" w:hAnsi="Times New Roman"/>
              <w:b/>
              <w:sz w:val="32"/>
              <w:szCs w:val="32"/>
              <w:lang w:val="en-US"/>
            </w:rPr>
            <w:t xml:space="preserve"> SAIL II</w:t>
          </w:r>
        </w:p>
      </w:tc>
    </w:tr>
  </w:tbl>
  <w:p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201E5"/>
    <w:rsid w:val="00022BD2"/>
    <w:rsid w:val="00053AF2"/>
    <w:rsid w:val="00053BC0"/>
    <w:rsid w:val="00054024"/>
    <w:rsid w:val="000743CA"/>
    <w:rsid w:val="000818CE"/>
    <w:rsid w:val="00083ABE"/>
    <w:rsid w:val="00087E6B"/>
    <w:rsid w:val="00091255"/>
    <w:rsid w:val="001046F3"/>
    <w:rsid w:val="00127858"/>
    <w:rsid w:val="00151EE8"/>
    <w:rsid w:val="00157EBB"/>
    <w:rsid w:val="001655CE"/>
    <w:rsid w:val="001A4962"/>
    <w:rsid w:val="001C09CD"/>
    <w:rsid w:val="001D772F"/>
    <w:rsid w:val="001E0D59"/>
    <w:rsid w:val="0020728A"/>
    <w:rsid w:val="0021122F"/>
    <w:rsid w:val="00212979"/>
    <w:rsid w:val="002370EA"/>
    <w:rsid w:val="002A3859"/>
    <w:rsid w:val="002C157C"/>
    <w:rsid w:val="002E250C"/>
    <w:rsid w:val="002F7B50"/>
    <w:rsid w:val="00325C75"/>
    <w:rsid w:val="0037252B"/>
    <w:rsid w:val="00385EFE"/>
    <w:rsid w:val="0039341B"/>
    <w:rsid w:val="00394975"/>
    <w:rsid w:val="00415D1C"/>
    <w:rsid w:val="004B2F20"/>
    <w:rsid w:val="004B59C1"/>
    <w:rsid w:val="004B7C05"/>
    <w:rsid w:val="004E134C"/>
    <w:rsid w:val="004F1E2C"/>
    <w:rsid w:val="0053083F"/>
    <w:rsid w:val="00594323"/>
    <w:rsid w:val="005A18DA"/>
    <w:rsid w:val="00603613"/>
    <w:rsid w:val="00616B7D"/>
    <w:rsid w:val="00647D5A"/>
    <w:rsid w:val="00671B00"/>
    <w:rsid w:val="006F3871"/>
    <w:rsid w:val="007106D3"/>
    <w:rsid w:val="0071535B"/>
    <w:rsid w:val="00786C6F"/>
    <w:rsid w:val="007C73A6"/>
    <w:rsid w:val="00866CEF"/>
    <w:rsid w:val="00883505"/>
    <w:rsid w:val="008D61B1"/>
    <w:rsid w:val="008F7508"/>
    <w:rsid w:val="00947A15"/>
    <w:rsid w:val="0096634F"/>
    <w:rsid w:val="00973AD7"/>
    <w:rsid w:val="00982474"/>
    <w:rsid w:val="00A14685"/>
    <w:rsid w:val="00A45579"/>
    <w:rsid w:val="00AD6177"/>
    <w:rsid w:val="00AF4383"/>
    <w:rsid w:val="00B3101E"/>
    <w:rsid w:val="00BB532C"/>
    <w:rsid w:val="00BD0C0C"/>
    <w:rsid w:val="00BD2C5C"/>
    <w:rsid w:val="00BD5F4C"/>
    <w:rsid w:val="00BE546D"/>
    <w:rsid w:val="00C042AD"/>
    <w:rsid w:val="00C13088"/>
    <w:rsid w:val="00CC6360"/>
    <w:rsid w:val="00D25BFF"/>
    <w:rsid w:val="00D434E6"/>
    <w:rsid w:val="00DA48B1"/>
    <w:rsid w:val="00DF3D77"/>
    <w:rsid w:val="00EA4E64"/>
    <w:rsid w:val="00EB1910"/>
    <w:rsid w:val="00F001DC"/>
    <w:rsid w:val="00F177AB"/>
    <w:rsid w:val="00F56B11"/>
    <w:rsid w:val="00F67763"/>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2023-10-18T09:38:00Z</dcterms:created>
  <dcterms:modified xsi:type="dcterms:W3CDTF">2023-10-18T09:38:00Z</dcterms:modified>
</cp:coreProperties>
</file>